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39D" w:rsidRPr="00A120AA" w:rsidRDefault="005E339D" w:rsidP="005E339D">
      <w:pPr>
        <w:spacing w:after="0" w:line="240" w:lineRule="auto"/>
        <w:jc w:val="center"/>
        <w:rPr>
          <w:rFonts w:ascii="Times New Roman" w:hAnsi="Times New Roman"/>
          <w:b/>
          <w:sz w:val="20"/>
          <w:szCs w:val="20"/>
        </w:rPr>
      </w:pPr>
      <w:r w:rsidRPr="00A120AA">
        <w:rPr>
          <w:rFonts w:ascii="Times New Roman" w:hAnsi="Times New Roman"/>
          <w:b/>
          <w:sz w:val="20"/>
          <w:szCs w:val="20"/>
        </w:rPr>
        <w:t>Sinteză observaţii la documentul de discuţie</w:t>
      </w:r>
    </w:p>
    <w:p w:rsidR="00390285" w:rsidRPr="00390285" w:rsidRDefault="00390285" w:rsidP="00390285">
      <w:pPr>
        <w:spacing w:after="0" w:line="240" w:lineRule="auto"/>
        <w:jc w:val="center"/>
        <w:rPr>
          <w:rFonts w:ascii="Times New Roman" w:hAnsi="Times New Roman"/>
          <w:b/>
          <w:sz w:val="20"/>
          <w:szCs w:val="20"/>
        </w:rPr>
      </w:pPr>
      <w:r w:rsidRPr="00390285">
        <w:rPr>
          <w:rFonts w:ascii="Times New Roman" w:hAnsi="Times New Roman"/>
          <w:b/>
          <w:sz w:val="20"/>
          <w:szCs w:val="20"/>
        </w:rPr>
        <w:t>Proiect de ordin privind modificarea şi completarea Metodologiei de stabilire a tarifelor</w:t>
      </w:r>
    </w:p>
    <w:p w:rsidR="00390285" w:rsidRPr="00390285" w:rsidRDefault="00390285" w:rsidP="00390285">
      <w:pPr>
        <w:spacing w:after="0" w:line="240" w:lineRule="auto"/>
        <w:jc w:val="center"/>
        <w:rPr>
          <w:rFonts w:ascii="Times New Roman" w:hAnsi="Times New Roman"/>
          <w:b/>
          <w:sz w:val="20"/>
          <w:szCs w:val="20"/>
        </w:rPr>
      </w:pPr>
      <w:r w:rsidRPr="00390285">
        <w:rPr>
          <w:rFonts w:ascii="Times New Roman" w:hAnsi="Times New Roman"/>
          <w:b/>
          <w:sz w:val="20"/>
          <w:szCs w:val="20"/>
        </w:rPr>
        <w:t xml:space="preserve"> pentru serviciul de transport al energiei electrice, aprobată prin Ordinul președintelui Autorităţii Naţionale de Reglementare în Domeniul Energiei</w:t>
      </w:r>
      <w:r w:rsidRPr="00390285" w:rsidDel="0013591B">
        <w:rPr>
          <w:rFonts w:ascii="Times New Roman" w:hAnsi="Times New Roman"/>
          <w:b/>
          <w:sz w:val="20"/>
          <w:szCs w:val="20"/>
        </w:rPr>
        <w:t xml:space="preserve"> </w:t>
      </w:r>
      <w:r w:rsidRPr="00390285">
        <w:rPr>
          <w:rFonts w:ascii="Times New Roman" w:hAnsi="Times New Roman"/>
          <w:b/>
          <w:sz w:val="20"/>
          <w:szCs w:val="20"/>
        </w:rPr>
        <w:t xml:space="preserve"> nr. 171/2019</w:t>
      </w:r>
    </w:p>
    <w:p w:rsidR="005E339D" w:rsidRPr="00A120AA" w:rsidRDefault="005E339D" w:rsidP="005E339D">
      <w:pPr>
        <w:pStyle w:val="ListParagraph"/>
        <w:spacing w:before="120" w:after="0" w:line="240" w:lineRule="auto"/>
        <w:ind w:left="0"/>
        <w:jc w:val="center"/>
        <w:rPr>
          <w:rFonts w:ascii="Times New Roman" w:hAnsi="Times New Roman"/>
          <w:b/>
          <w:sz w:val="20"/>
          <w:szCs w:val="20"/>
        </w:rPr>
      </w:pPr>
      <w:r w:rsidRPr="00A120AA">
        <w:rPr>
          <w:rFonts w:ascii="Times New Roman" w:hAnsi="Times New Roman"/>
          <w:b/>
          <w:sz w:val="20"/>
          <w:szCs w:val="20"/>
        </w:rPr>
        <w:t>supus consultării publice</w:t>
      </w:r>
      <w:r w:rsidR="00390285">
        <w:rPr>
          <w:rFonts w:ascii="Times New Roman" w:hAnsi="Times New Roman"/>
          <w:b/>
          <w:sz w:val="20"/>
          <w:szCs w:val="20"/>
        </w:rPr>
        <w:t xml:space="preserve"> </w:t>
      </w:r>
      <w:r w:rsidRPr="00A120AA">
        <w:rPr>
          <w:rFonts w:ascii="Times New Roman" w:hAnsi="Times New Roman"/>
          <w:b/>
          <w:sz w:val="20"/>
          <w:szCs w:val="20"/>
        </w:rPr>
        <w:t xml:space="preserve"> în perioda </w:t>
      </w:r>
      <w:r w:rsidR="00390285">
        <w:rPr>
          <w:rFonts w:ascii="Times New Roman" w:hAnsi="Times New Roman"/>
          <w:b/>
          <w:sz w:val="20"/>
          <w:szCs w:val="20"/>
        </w:rPr>
        <w:t>01.07.2020 – 16.07.2020</w:t>
      </w:r>
    </w:p>
    <w:p w:rsidR="00481126" w:rsidRPr="00A120AA" w:rsidRDefault="00481126" w:rsidP="00576C73">
      <w:pPr>
        <w:pStyle w:val="ListParagraph"/>
        <w:spacing w:before="120" w:after="0" w:line="240" w:lineRule="auto"/>
        <w:ind w:left="0"/>
        <w:jc w:val="center"/>
        <w:rPr>
          <w:rFonts w:ascii="Times New Roman" w:hAnsi="Times New Roman"/>
          <w:b/>
          <w:sz w:val="20"/>
          <w:szCs w:val="20"/>
        </w:rPr>
      </w:pPr>
    </w:p>
    <w:tbl>
      <w:tblPr>
        <w:tblW w:w="15836"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73"/>
        <w:gridCol w:w="862"/>
        <w:gridCol w:w="3060"/>
        <w:gridCol w:w="3420"/>
        <w:gridCol w:w="3420"/>
        <w:gridCol w:w="2340"/>
        <w:gridCol w:w="2261"/>
      </w:tblGrid>
      <w:tr w:rsidR="00EA493E" w:rsidRPr="001A364C" w:rsidTr="00AF1123">
        <w:trPr>
          <w:trHeight w:val="611"/>
          <w:tblHeader/>
        </w:trPr>
        <w:tc>
          <w:tcPr>
            <w:tcW w:w="473" w:type="dxa"/>
            <w:tcBorders>
              <w:top w:val="single" w:sz="4" w:space="0" w:color="auto"/>
            </w:tcBorders>
            <w:shd w:val="clear" w:color="auto" w:fill="auto"/>
          </w:tcPr>
          <w:p w:rsidR="0001615C" w:rsidRPr="001A364C" w:rsidRDefault="0001615C" w:rsidP="005F5E4F">
            <w:pPr>
              <w:tabs>
                <w:tab w:val="left" w:pos="360"/>
              </w:tabs>
              <w:spacing w:after="0" w:line="240" w:lineRule="auto"/>
              <w:jc w:val="center"/>
              <w:rPr>
                <w:rFonts w:ascii="Times New Roman" w:eastAsia="Batang" w:hAnsi="Times New Roman"/>
                <w:b/>
                <w:sz w:val="20"/>
                <w:szCs w:val="20"/>
                <w:lang w:eastAsia="ko-KR"/>
              </w:rPr>
            </w:pPr>
            <w:r w:rsidRPr="001A364C">
              <w:rPr>
                <w:rFonts w:ascii="Times New Roman" w:eastAsia="Batang" w:hAnsi="Times New Roman"/>
                <w:b/>
                <w:sz w:val="20"/>
                <w:szCs w:val="20"/>
                <w:lang w:eastAsia="ko-KR"/>
              </w:rPr>
              <w:t>Nr. crt.</w:t>
            </w:r>
          </w:p>
        </w:tc>
        <w:tc>
          <w:tcPr>
            <w:tcW w:w="862" w:type="dxa"/>
            <w:tcBorders>
              <w:top w:val="single" w:sz="4" w:space="0" w:color="auto"/>
            </w:tcBorders>
          </w:tcPr>
          <w:p w:rsidR="0001615C" w:rsidRPr="001A364C" w:rsidRDefault="005E339D" w:rsidP="005F5E4F">
            <w:pPr>
              <w:spacing w:after="0" w:line="240" w:lineRule="auto"/>
              <w:jc w:val="center"/>
              <w:rPr>
                <w:rFonts w:ascii="Times New Roman" w:eastAsia="Batang" w:hAnsi="Times New Roman"/>
                <w:b/>
                <w:sz w:val="20"/>
                <w:szCs w:val="20"/>
                <w:lang w:eastAsia="ko-KR"/>
              </w:rPr>
            </w:pPr>
            <w:r w:rsidRPr="001A364C">
              <w:rPr>
                <w:rFonts w:ascii="Times New Roman" w:eastAsia="Batang" w:hAnsi="Times New Roman"/>
                <w:b/>
                <w:sz w:val="20"/>
                <w:szCs w:val="20"/>
                <w:lang w:eastAsia="ko-KR"/>
              </w:rPr>
              <w:t>Nr.</w:t>
            </w:r>
          </w:p>
          <w:p w:rsidR="005E339D" w:rsidRPr="001A364C" w:rsidRDefault="005E339D" w:rsidP="005F5E4F">
            <w:pPr>
              <w:spacing w:after="0" w:line="240" w:lineRule="auto"/>
              <w:jc w:val="center"/>
              <w:rPr>
                <w:rFonts w:ascii="Times New Roman" w:eastAsia="Batang" w:hAnsi="Times New Roman"/>
                <w:b/>
                <w:sz w:val="20"/>
                <w:szCs w:val="20"/>
                <w:lang w:eastAsia="ko-KR"/>
              </w:rPr>
            </w:pPr>
            <w:r w:rsidRPr="001A364C">
              <w:rPr>
                <w:rFonts w:ascii="Times New Roman" w:eastAsia="Batang" w:hAnsi="Times New Roman"/>
                <w:b/>
                <w:sz w:val="20"/>
                <w:szCs w:val="20"/>
                <w:lang w:eastAsia="ko-KR"/>
              </w:rPr>
              <w:t>art.</w:t>
            </w:r>
          </w:p>
        </w:tc>
        <w:tc>
          <w:tcPr>
            <w:tcW w:w="3060" w:type="dxa"/>
            <w:tcBorders>
              <w:top w:val="single" w:sz="4" w:space="0" w:color="auto"/>
            </w:tcBorders>
            <w:shd w:val="clear" w:color="auto" w:fill="auto"/>
          </w:tcPr>
          <w:p w:rsidR="0001615C" w:rsidRPr="001A364C" w:rsidRDefault="0001615C" w:rsidP="005F5E4F">
            <w:pPr>
              <w:spacing w:after="0" w:line="240" w:lineRule="auto"/>
              <w:rPr>
                <w:rFonts w:ascii="Times New Roman" w:eastAsia="Batang" w:hAnsi="Times New Roman"/>
                <w:b/>
                <w:sz w:val="20"/>
                <w:szCs w:val="20"/>
                <w:lang w:eastAsia="ko-KR"/>
              </w:rPr>
            </w:pPr>
          </w:p>
          <w:p w:rsidR="0001615C" w:rsidRPr="001A364C" w:rsidRDefault="0001615C" w:rsidP="005F5E4F">
            <w:pPr>
              <w:spacing w:after="0" w:line="240" w:lineRule="auto"/>
              <w:jc w:val="center"/>
              <w:rPr>
                <w:rFonts w:ascii="Times New Roman" w:eastAsia="Batang" w:hAnsi="Times New Roman"/>
                <w:b/>
                <w:sz w:val="20"/>
                <w:szCs w:val="20"/>
                <w:lang w:eastAsia="ko-KR"/>
              </w:rPr>
            </w:pPr>
            <w:r w:rsidRPr="001A364C">
              <w:rPr>
                <w:rFonts w:ascii="Times New Roman" w:eastAsia="Batang" w:hAnsi="Times New Roman"/>
                <w:b/>
                <w:sz w:val="20"/>
                <w:szCs w:val="20"/>
                <w:lang w:eastAsia="ko-KR"/>
              </w:rPr>
              <w:t>TEXT EXISTENT</w:t>
            </w:r>
          </w:p>
        </w:tc>
        <w:tc>
          <w:tcPr>
            <w:tcW w:w="3420" w:type="dxa"/>
            <w:tcBorders>
              <w:top w:val="single" w:sz="4" w:space="0" w:color="auto"/>
            </w:tcBorders>
          </w:tcPr>
          <w:p w:rsidR="005E339D" w:rsidRPr="001A364C" w:rsidRDefault="005E339D" w:rsidP="001A364C">
            <w:pPr>
              <w:spacing w:after="0" w:line="240" w:lineRule="auto"/>
              <w:jc w:val="both"/>
              <w:rPr>
                <w:rFonts w:ascii="Times New Roman" w:eastAsia="Batang" w:hAnsi="Times New Roman"/>
                <w:b/>
                <w:sz w:val="20"/>
                <w:szCs w:val="20"/>
                <w:lang w:eastAsia="ko-KR"/>
              </w:rPr>
            </w:pPr>
          </w:p>
          <w:p w:rsidR="0001615C" w:rsidRPr="001A364C" w:rsidRDefault="009C3C0C" w:rsidP="001A364C">
            <w:pPr>
              <w:spacing w:after="0" w:line="240" w:lineRule="auto"/>
              <w:jc w:val="both"/>
              <w:rPr>
                <w:rFonts w:ascii="Times New Roman" w:eastAsia="Batang" w:hAnsi="Times New Roman"/>
                <w:b/>
                <w:sz w:val="20"/>
                <w:szCs w:val="20"/>
                <w:lang w:eastAsia="ko-KR"/>
              </w:rPr>
            </w:pPr>
            <w:r w:rsidRPr="001A364C">
              <w:rPr>
                <w:rFonts w:ascii="Times New Roman" w:eastAsia="Batang" w:hAnsi="Times New Roman"/>
                <w:b/>
                <w:sz w:val="20"/>
                <w:szCs w:val="20"/>
                <w:lang w:eastAsia="ko-KR"/>
              </w:rPr>
              <w:t>TEXT PROPUS ANRE</w:t>
            </w:r>
          </w:p>
        </w:tc>
        <w:tc>
          <w:tcPr>
            <w:tcW w:w="3420" w:type="dxa"/>
            <w:tcBorders>
              <w:top w:val="single" w:sz="4" w:space="0" w:color="auto"/>
            </w:tcBorders>
            <w:shd w:val="clear" w:color="auto" w:fill="auto"/>
          </w:tcPr>
          <w:p w:rsidR="0001615C" w:rsidRPr="001A364C" w:rsidRDefault="0001615C" w:rsidP="005F5E4F">
            <w:pPr>
              <w:spacing w:after="0" w:line="240" w:lineRule="auto"/>
              <w:rPr>
                <w:rFonts w:ascii="Times New Roman" w:eastAsia="Batang" w:hAnsi="Times New Roman"/>
                <w:b/>
                <w:sz w:val="20"/>
                <w:szCs w:val="20"/>
                <w:lang w:eastAsia="ko-KR"/>
              </w:rPr>
            </w:pPr>
          </w:p>
          <w:p w:rsidR="0001615C" w:rsidRPr="001A364C" w:rsidRDefault="009C3C0C" w:rsidP="009C3C0C">
            <w:pPr>
              <w:spacing w:after="0" w:line="240" w:lineRule="auto"/>
              <w:jc w:val="center"/>
              <w:rPr>
                <w:rFonts w:ascii="Times New Roman" w:eastAsia="Batang" w:hAnsi="Times New Roman"/>
                <w:b/>
                <w:sz w:val="20"/>
                <w:szCs w:val="20"/>
                <w:lang w:eastAsia="ko-KR"/>
              </w:rPr>
            </w:pPr>
            <w:r w:rsidRPr="001A364C">
              <w:rPr>
                <w:rFonts w:ascii="Times New Roman" w:eastAsia="Batang" w:hAnsi="Times New Roman"/>
                <w:b/>
                <w:sz w:val="20"/>
                <w:szCs w:val="20"/>
                <w:lang w:eastAsia="ko-KR"/>
              </w:rPr>
              <w:t>TEXT PROPUS OTS</w:t>
            </w:r>
          </w:p>
        </w:tc>
        <w:tc>
          <w:tcPr>
            <w:tcW w:w="2340" w:type="dxa"/>
            <w:tcBorders>
              <w:top w:val="single" w:sz="4" w:space="0" w:color="auto"/>
            </w:tcBorders>
            <w:shd w:val="clear" w:color="auto" w:fill="auto"/>
          </w:tcPr>
          <w:p w:rsidR="0001615C" w:rsidRPr="001A364C" w:rsidRDefault="0001615C" w:rsidP="005F5E4F">
            <w:pPr>
              <w:spacing w:after="0" w:line="240" w:lineRule="auto"/>
              <w:rPr>
                <w:rFonts w:ascii="Times New Roman" w:eastAsia="Batang" w:hAnsi="Times New Roman"/>
                <w:b/>
                <w:sz w:val="20"/>
                <w:szCs w:val="20"/>
                <w:lang w:eastAsia="ko-KR"/>
              </w:rPr>
            </w:pPr>
          </w:p>
          <w:p w:rsidR="0001615C" w:rsidRPr="001A364C" w:rsidRDefault="0001615C" w:rsidP="005F5E4F">
            <w:pPr>
              <w:spacing w:after="0" w:line="240" w:lineRule="auto"/>
              <w:jc w:val="center"/>
              <w:rPr>
                <w:rFonts w:ascii="Times New Roman" w:eastAsia="Batang" w:hAnsi="Times New Roman"/>
                <w:b/>
                <w:sz w:val="20"/>
                <w:szCs w:val="20"/>
                <w:lang w:eastAsia="ko-KR"/>
              </w:rPr>
            </w:pPr>
            <w:r w:rsidRPr="001A364C">
              <w:rPr>
                <w:rFonts w:ascii="Times New Roman" w:eastAsia="Batang" w:hAnsi="Times New Roman"/>
                <w:b/>
                <w:sz w:val="20"/>
                <w:szCs w:val="20"/>
                <w:lang w:eastAsia="ko-KR"/>
              </w:rPr>
              <w:t>MOTIVARE</w:t>
            </w:r>
            <w:r w:rsidR="009C3C0C" w:rsidRPr="001A364C">
              <w:rPr>
                <w:rFonts w:ascii="Times New Roman" w:eastAsia="Batang" w:hAnsi="Times New Roman"/>
                <w:b/>
                <w:sz w:val="20"/>
                <w:szCs w:val="20"/>
                <w:lang w:eastAsia="ko-KR"/>
              </w:rPr>
              <w:t xml:space="preserve"> OTS</w:t>
            </w:r>
          </w:p>
        </w:tc>
        <w:tc>
          <w:tcPr>
            <w:tcW w:w="2261" w:type="dxa"/>
            <w:tcBorders>
              <w:top w:val="single" w:sz="4" w:space="0" w:color="auto"/>
            </w:tcBorders>
          </w:tcPr>
          <w:p w:rsidR="0001615C" w:rsidRPr="001A364C" w:rsidRDefault="0001615C" w:rsidP="005F5E4F">
            <w:pPr>
              <w:spacing w:after="0" w:line="240" w:lineRule="auto"/>
              <w:rPr>
                <w:rFonts w:ascii="Times New Roman" w:eastAsia="Batang" w:hAnsi="Times New Roman"/>
                <w:b/>
                <w:sz w:val="20"/>
                <w:szCs w:val="20"/>
                <w:lang w:eastAsia="ko-KR"/>
              </w:rPr>
            </w:pPr>
          </w:p>
          <w:p w:rsidR="0001615C" w:rsidRPr="001A364C" w:rsidRDefault="0001615C" w:rsidP="005F5E4F">
            <w:pPr>
              <w:spacing w:after="0" w:line="240" w:lineRule="auto"/>
              <w:jc w:val="center"/>
              <w:rPr>
                <w:rFonts w:ascii="Times New Roman" w:eastAsia="Batang" w:hAnsi="Times New Roman"/>
                <w:b/>
                <w:sz w:val="20"/>
                <w:szCs w:val="20"/>
                <w:lang w:eastAsia="ko-KR"/>
              </w:rPr>
            </w:pPr>
            <w:r w:rsidRPr="001A364C">
              <w:rPr>
                <w:rFonts w:ascii="Times New Roman" w:eastAsia="Batang" w:hAnsi="Times New Roman"/>
                <w:b/>
                <w:sz w:val="20"/>
                <w:szCs w:val="20"/>
                <w:lang w:eastAsia="ko-KR"/>
              </w:rPr>
              <w:t>REZOLUŢIE ANRE</w:t>
            </w:r>
          </w:p>
        </w:tc>
      </w:tr>
      <w:tr w:rsidR="00EC0442" w:rsidRPr="001A364C" w:rsidTr="00AF1123">
        <w:trPr>
          <w:trHeight w:val="611"/>
        </w:trPr>
        <w:tc>
          <w:tcPr>
            <w:tcW w:w="473" w:type="dxa"/>
            <w:tcBorders>
              <w:top w:val="single" w:sz="4" w:space="0" w:color="auto"/>
            </w:tcBorders>
            <w:shd w:val="clear" w:color="auto" w:fill="auto"/>
          </w:tcPr>
          <w:p w:rsidR="00EC0442" w:rsidRPr="001A364C" w:rsidRDefault="00EC0442" w:rsidP="00164BFF">
            <w:pPr>
              <w:numPr>
                <w:ilvl w:val="0"/>
                <w:numId w:val="3"/>
              </w:numPr>
              <w:tabs>
                <w:tab w:val="left" w:pos="360"/>
              </w:tabs>
              <w:spacing w:after="0" w:line="240" w:lineRule="auto"/>
              <w:jc w:val="center"/>
              <w:rPr>
                <w:rFonts w:ascii="Times New Roman" w:eastAsia="Batang" w:hAnsi="Times New Roman"/>
                <w:b/>
                <w:sz w:val="20"/>
                <w:szCs w:val="20"/>
                <w:lang w:eastAsia="ko-KR"/>
              </w:rPr>
            </w:pPr>
          </w:p>
        </w:tc>
        <w:tc>
          <w:tcPr>
            <w:tcW w:w="862" w:type="dxa"/>
            <w:tcBorders>
              <w:top w:val="single" w:sz="4" w:space="0" w:color="auto"/>
            </w:tcBorders>
          </w:tcPr>
          <w:p w:rsidR="00EC0442" w:rsidRPr="001A364C" w:rsidRDefault="00C6483A" w:rsidP="005F5E4F">
            <w:pPr>
              <w:spacing w:after="0" w:line="240" w:lineRule="auto"/>
              <w:jc w:val="center"/>
              <w:rPr>
                <w:rFonts w:ascii="Times New Roman" w:eastAsia="Batang" w:hAnsi="Times New Roman"/>
                <w:sz w:val="20"/>
                <w:szCs w:val="20"/>
                <w:lang w:eastAsia="ko-KR"/>
              </w:rPr>
            </w:pPr>
            <w:r>
              <w:rPr>
                <w:rFonts w:ascii="Times New Roman" w:eastAsia="Batang" w:hAnsi="Times New Roman"/>
                <w:sz w:val="20"/>
                <w:szCs w:val="20"/>
                <w:lang w:eastAsia="ko-KR"/>
              </w:rPr>
              <w:t>Art. 6</w:t>
            </w:r>
          </w:p>
        </w:tc>
        <w:tc>
          <w:tcPr>
            <w:tcW w:w="3060" w:type="dxa"/>
            <w:tcBorders>
              <w:top w:val="single" w:sz="4" w:space="0" w:color="auto"/>
            </w:tcBorders>
            <w:shd w:val="clear" w:color="auto" w:fill="auto"/>
          </w:tcPr>
          <w:p w:rsidR="00EC0442" w:rsidRPr="001A364C" w:rsidRDefault="00C6483A" w:rsidP="00BD77E0">
            <w:pPr>
              <w:spacing w:after="0" w:line="240" w:lineRule="auto"/>
              <w:jc w:val="both"/>
              <w:rPr>
                <w:rFonts w:ascii="Times New Roman" w:hAnsi="Times New Roman"/>
                <w:sz w:val="20"/>
                <w:szCs w:val="20"/>
              </w:rPr>
            </w:pPr>
            <w:r w:rsidRPr="00EC0442">
              <w:rPr>
                <w:rFonts w:ascii="Times New Roman" w:eastAsia="Batang" w:hAnsi="Times New Roman"/>
                <w:sz w:val="20"/>
                <w:szCs w:val="20"/>
                <w:lang w:eastAsia="ko-KR"/>
              </w:rPr>
              <w:t>Costul reglementat al serviciului de transport - Totalul costurilor justificate şi recunoscute de Autoritatea Naţională de Reglementare în domeniul Energiei, repartizate serviciului de transport al energiei electrice, din totalul costurilor operatorului de transport şi de sistem, pe baza cărora se stabilesc tarifele de transport.</w:t>
            </w:r>
          </w:p>
        </w:tc>
        <w:tc>
          <w:tcPr>
            <w:tcW w:w="3420" w:type="dxa"/>
            <w:tcBorders>
              <w:top w:val="single" w:sz="4" w:space="0" w:color="auto"/>
            </w:tcBorders>
          </w:tcPr>
          <w:p w:rsidR="00EC0442" w:rsidRPr="00015748" w:rsidRDefault="00EC0442" w:rsidP="0002794C">
            <w:pPr>
              <w:spacing w:after="0" w:line="240" w:lineRule="auto"/>
              <w:jc w:val="both"/>
              <w:rPr>
                <w:rFonts w:ascii="Times New Roman" w:hAnsi="Times New Roman"/>
                <w:sz w:val="20"/>
                <w:szCs w:val="20"/>
              </w:rPr>
            </w:pPr>
          </w:p>
        </w:tc>
        <w:tc>
          <w:tcPr>
            <w:tcW w:w="3420" w:type="dxa"/>
            <w:tcBorders>
              <w:top w:val="single" w:sz="4" w:space="0" w:color="auto"/>
            </w:tcBorders>
            <w:shd w:val="clear" w:color="auto" w:fill="auto"/>
          </w:tcPr>
          <w:p w:rsidR="00EC0442" w:rsidRPr="001A364C" w:rsidRDefault="00EC0442" w:rsidP="00EC0442">
            <w:pPr>
              <w:spacing w:after="0" w:line="240" w:lineRule="auto"/>
              <w:jc w:val="both"/>
              <w:rPr>
                <w:rFonts w:ascii="Times New Roman" w:eastAsia="Batang" w:hAnsi="Times New Roman"/>
                <w:sz w:val="20"/>
                <w:szCs w:val="20"/>
                <w:lang w:eastAsia="ko-KR"/>
              </w:rPr>
            </w:pPr>
            <w:r w:rsidRPr="00EC0442">
              <w:rPr>
                <w:rFonts w:ascii="Times New Roman" w:eastAsia="Batang" w:hAnsi="Times New Roman"/>
                <w:sz w:val="20"/>
                <w:szCs w:val="20"/>
                <w:lang w:eastAsia="ko-KR"/>
              </w:rPr>
              <w:t xml:space="preserve">Costul reglementat al serviciului de transport - Totalul costurilor justificate şi recunoscute de Autoritatea Naţională de Reglementare în domeniul Energiei, repartizate serviciului de transport al energiei electrice, din totalul costurilor operatorului de transport şi de sistem, pe baza cărora se stabilesc tarifele de transport. </w:t>
            </w:r>
            <w:r w:rsidRPr="00EC0442">
              <w:rPr>
                <w:rFonts w:ascii="Times New Roman" w:eastAsia="Batang" w:hAnsi="Times New Roman"/>
                <w:b/>
                <w:sz w:val="20"/>
                <w:szCs w:val="20"/>
                <w:lang w:eastAsia="ko-KR"/>
              </w:rPr>
              <w:t>Începând cu a patra perioadă de reglementare acesta conține și costurile justificate necesare activităților desfășurare de OTS pentru realizarea serviciilor funcționale de sistem.</w:t>
            </w:r>
          </w:p>
        </w:tc>
        <w:tc>
          <w:tcPr>
            <w:tcW w:w="2340" w:type="dxa"/>
            <w:tcBorders>
              <w:top w:val="single" w:sz="4" w:space="0" w:color="auto"/>
            </w:tcBorders>
            <w:shd w:val="clear" w:color="auto" w:fill="auto"/>
          </w:tcPr>
          <w:p w:rsidR="00EC0442" w:rsidRPr="001A364C" w:rsidRDefault="00EC0442" w:rsidP="005F5E4F">
            <w:pPr>
              <w:spacing w:after="0" w:line="240" w:lineRule="auto"/>
              <w:rPr>
                <w:rFonts w:ascii="Times New Roman" w:eastAsia="Batang" w:hAnsi="Times New Roman"/>
                <w:sz w:val="20"/>
                <w:szCs w:val="20"/>
                <w:lang w:eastAsia="ko-KR"/>
              </w:rPr>
            </w:pPr>
            <w:r w:rsidRPr="00EC0442">
              <w:rPr>
                <w:rFonts w:ascii="Times New Roman" w:eastAsia="Batang" w:hAnsi="Times New Roman"/>
                <w:sz w:val="20"/>
                <w:szCs w:val="20"/>
                <w:lang w:eastAsia="ko-KR"/>
              </w:rPr>
              <w:t>necesitatea clarificării activităților reglementate ce vor fi acoperite de prezenta metodologie</w:t>
            </w:r>
          </w:p>
        </w:tc>
        <w:tc>
          <w:tcPr>
            <w:tcW w:w="2261" w:type="dxa"/>
            <w:tcBorders>
              <w:top w:val="single" w:sz="4" w:space="0" w:color="auto"/>
            </w:tcBorders>
          </w:tcPr>
          <w:p w:rsidR="00EC0442" w:rsidRPr="001A364C" w:rsidRDefault="00EC0442" w:rsidP="003C21FC">
            <w:pPr>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Nu </w:t>
            </w:r>
            <w:r w:rsidR="00E37B53">
              <w:rPr>
                <w:rFonts w:ascii="Times New Roman" w:eastAsia="Batang" w:hAnsi="Times New Roman"/>
                <w:sz w:val="20"/>
                <w:szCs w:val="20"/>
                <w:lang w:eastAsia="ko-KR"/>
              </w:rPr>
              <w:t>este necesară această precizare</w:t>
            </w:r>
            <w:r>
              <w:rPr>
                <w:rFonts w:ascii="Times New Roman" w:eastAsia="Batang" w:hAnsi="Times New Roman"/>
                <w:sz w:val="20"/>
                <w:szCs w:val="20"/>
                <w:lang w:eastAsia="ko-KR"/>
              </w:rPr>
              <w:t>.</w:t>
            </w:r>
            <w:r w:rsidR="00E37B53">
              <w:rPr>
                <w:rFonts w:ascii="Times New Roman" w:eastAsia="Batang" w:hAnsi="Times New Roman"/>
                <w:sz w:val="20"/>
                <w:szCs w:val="20"/>
                <w:lang w:eastAsia="ko-KR"/>
              </w:rPr>
              <w:t xml:space="preserve"> </w:t>
            </w:r>
            <w:r>
              <w:rPr>
                <w:rFonts w:ascii="Times New Roman" w:eastAsia="Batang" w:hAnsi="Times New Roman"/>
                <w:sz w:val="20"/>
                <w:szCs w:val="20"/>
                <w:lang w:eastAsia="ko-KR"/>
              </w:rPr>
              <w:t xml:space="preserve"> La art. 118 din proiectul de modificare a metodologiei se precizează că pentru perioada a IV-a de reglementare  costurile aferente serviciului funcțional de sistem și costurile cu energia reactivă se înglobează în serviciul de transport al energiei electrice.</w:t>
            </w:r>
            <w:r w:rsidR="00B62A92">
              <w:rPr>
                <w:rFonts w:ascii="Times New Roman" w:eastAsia="Batang" w:hAnsi="Times New Roman"/>
                <w:sz w:val="20"/>
                <w:szCs w:val="20"/>
                <w:lang w:eastAsia="ko-KR"/>
              </w:rPr>
              <w:t xml:space="preserve"> </w:t>
            </w:r>
            <w:r w:rsidR="003C21FC">
              <w:rPr>
                <w:rFonts w:ascii="Times New Roman" w:eastAsia="Batang" w:hAnsi="Times New Roman"/>
                <w:sz w:val="20"/>
                <w:szCs w:val="20"/>
                <w:lang w:eastAsia="ko-KR"/>
              </w:rPr>
              <w:t>În plus, aceasta e</w:t>
            </w:r>
            <w:r w:rsidR="00B62A92">
              <w:rPr>
                <w:rFonts w:ascii="Times New Roman" w:eastAsia="Batang" w:hAnsi="Times New Roman"/>
                <w:sz w:val="20"/>
                <w:szCs w:val="20"/>
                <w:lang w:eastAsia="ko-KR"/>
              </w:rPr>
              <w:t xml:space="preserve">ste doar o </w:t>
            </w:r>
            <w:r w:rsidR="003C21FC">
              <w:rPr>
                <w:rFonts w:ascii="Times New Roman" w:eastAsia="Batang" w:hAnsi="Times New Roman"/>
                <w:sz w:val="20"/>
                <w:szCs w:val="20"/>
                <w:lang w:eastAsia="ko-KR"/>
              </w:rPr>
              <w:t>p</w:t>
            </w:r>
            <w:r w:rsidR="00B62A92">
              <w:rPr>
                <w:rFonts w:ascii="Times New Roman" w:eastAsia="Batang" w:hAnsi="Times New Roman"/>
                <w:sz w:val="20"/>
                <w:szCs w:val="20"/>
                <w:lang w:eastAsia="ko-KR"/>
              </w:rPr>
              <w:t xml:space="preserve">revedere tranzitorie care este valabilă doar </w:t>
            </w:r>
            <w:r w:rsidR="003C21FC">
              <w:rPr>
                <w:rFonts w:ascii="Times New Roman" w:eastAsia="Batang" w:hAnsi="Times New Roman"/>
                <w:sz w:val="20"/>
                <w:szCs w:val="20"/>
                <w:lang w:eastAsia="ko-KR"/>
              </w:rPr>
              <w:t>p</w:t>
            </w:r>
            <w:r w:rsidR="00B62A92">
              <w:rPr>
                <w:rFonts w:ascii="Times New Roman" w:eastAsia="Batang" w:hAnsi="Times New Roman"/>
                <w:sz w:val="20"/>
                <w:szCs w:val="20"/>
                <w:lang w:eastAsia="ko-KR"/>
              </w:rPr>
              <w:t xml:space="preserve">entru </w:t>
            </w:r>
            <w:r w:rsidR="003C21FC">
              <w:rPr>
                <w:rFonts w:ascii="Times New Roman" w:eastAsia="Batang" w:hAnsi="Times New Roman"/>
                <w:sz w:val="20"/>
                <w:szCs w:val="20"/>
                <w:lang w:eastAsia="ko-KR"/>
              </w:rPr>
              <w:t>p</w:t>
            </w:r>
            <w:r w:rsidR="00B62A92">
              <w:rPr>
                <w:rFonts w:ascii="Times New Roman" w:eastAsia="Batang" w:hAnsi="Times New Roman"/>
                <w:sz w:val="20"/>
                <w:szCs w:val="20"/>
                <w:lang w:eastAsia="ko-KR"/>
              </w:rPr>
              <w:t>erioada a IV-a</w:t>
            </w:r>
            <w:r w:rsidR="003C21FC">
              <w:rPr>
                <w:rFonts w:ascii="Times New Roman" w:eastAsia="Batang" w:hAnsi="Times New Roman"/>
                <w:sz w:val="20"/>
                <w:szCs w:val="20"/>
                <w:lang w:eastAsia="ko-KR"/>
              </w:rPr>
              <w:t xml:space="preserve"> de reglementare</w:t>
            </w:r>
            <w:r w:rsidR="00B62A92">
              <w:rPr>
                <w:rFonts w:ascii="Times New Roman" w:eastAsia="Batang" w:hAnsi="Times New Roman"/>
                <w:sz w:val="20"/>
                <w:szCs w:val="20"/>
                <w:lang w:eastAsia="ko-KR"/>
              </w:rPr>
              <w:t xml:space="preserve"> în cadrul căreia se realizează unificarea celor două tarife.</w:t>
            </w:r>
          </w:p>
        </w:tc>
      </w:tr>
      <w:tr w:rsidR="0012148E" w:rsidRPr="001A364C" w:rsidTr="00AF1123">
        <w:trPr>
          <w:trHeight w:val="562"/>
        </w:trPr>
        <w:tc>
          <w:tcPr>
            <w:tcW w:w="473" w:type="dxa"/>
            <w:shd w:val="clear" w:color="auto" w:fill="auto"/>
          </w:tcPr>
          <w:p w:rsidR="0012148E" w:rsidRPr="001A364C" w:rsidRDefault="0012148E"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62" w:type="dxa"/>
          </w:tcPr>
          <w:p w:rsidR="0012148E" w:rsidRDefault="00BD77E0" w:rsidP="005F5E4F">
            <w:pPr>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Art. 26</w:t>
            </w:r>
          </w:p>
        </w:tc>
        <w:tc>
          <w:tcPr>
            <w:tcW w:w="3060" w:type="dxa"/>
            <w:shd w:val="clear" w:color="auto" w:fill="auto"/>
          </w:tcPr>
          <w:p w:rsidR="0012148E" w:rsidRPr="00EC5AAF" w:rsidRDefault="00BD77E0" w:rsidP="00BF4E01">
            <w:pPr>
              <w:spacing w:after="0" w:line="240" w:lineRule="auto"/>
              <w:jc w:val="both"/>
              <w:rPr>
                <w:rFonts w:ascii="Times New Roman" w:hAnsi="Times New Roman"/>
                <w:color w:val="191919"/>
                <w:sz w:val="20"/>
                <w:szCs w:val="20"/>
              </w:rPr>
            </w:pPr>
            <w:r w:rsidRPr="00EC5AAF">
              <w:rPr>
                <w:rFonts w:ascii="Times New Roman" w:hAnsi="Times New Roman"/>
                <w:color w:val="191919"/>
                <w:sz w:val="20"/>
                <w:szCs w:val="20"/>
              </w:rPr>
              <w:t xml:space="preserve">Veniturile obţinute din alte activităţi ce utilizează resursele recunoscute pentru desfăşurarea activităţii de transport aferente anului t - Vt(AA) cuprind: venituri din utilizarea SEN pentru schimburile de energie electrică </w:t>
            </w:r>
            <w:r w:rsidRPr="00EC5AAF">
              <w:rPr>
                <w:rFonts w:ascii="Times New Roman" w:hAnsi="Times New Roman"/>
                <w:color w:val="191919"/>
                <w:sz w:val="20"/>
                <w:szCs w:val="20"/>
              </w:rPr>
              <w:lastRenderedPageBreak/>
              <w:t>programate cu țările perimetrice potrivit prevederilor Secţiunii nr.7, venituri din energie electrică reactivă, venituri din alte prestaţii, alte venituri de exploatare (cu excepţia veniturilor obţinute din dezmembrări nevalorificate, a celor înregistrate în contabilitate la nivelul cheltuielilor cu amortizarea mijloacelor fixe realizate din contribuţii financiare, a celor provenite din valorificarea bunurilor aparţinând domeniului public al statului şi a celor rezultate din anularea provizioanelor, a celor provenite din recuperarea cheltuielilor de judecată şi a altor cheltuieli asociate</w:t>
            </w:r>
          </w:p>
        </w:tc>
        <w:tc>
          <w:tcPr>
            <w:tcW w:w="3420" w:type="dxa"/>
          </w:tcPr>
          <w:p w:rsidR="0012148E" w:rsidRPr="00BF4E01" w:rsidRDefault="0012148E" w:rsidP="00BF4E01">
            <w:pPr>
              <w:spacing w:after="0" w:line="240" w:lineRule="auto"/>
              <w:jc w:val="both"/>
            </w:pPr>
          </w:p>
        </w:tc>
        <w:tc>
          <w:tcPr>
            <w:tcW w:w="3420" w:type="dxa"/>
            <w:shd w:val="clear" w:color="auto" w:fill="auto"/>
          </w:tcPr>
          <w:p w:rsidR="0012148E" w:rsidRPr="001A364C" w:rsidRDefault="0012148E" w:rsidP="005F5E4F">
            <w:pPr>
              <w:pStyle w:val="BodyTextIndent3"/>
              <w:spacing w:after="0" w:line="240" w:lineRule="auto"/>
              <w:ind w:left="0"/>
              <w:jc w:val="both"/>
              <w:rPr>
                <w:rFonts w:ascii="Times New Roman" w:hAnsi="Times New Roman"/>
                <w:color w:val="191919"/>
                <w:sz w:val="20"/>
                <w:szCs w:val="20"/>
              </w:rPr>
            </w:pPr>
            <w:r>
              <w:rPr>
                <w:rFonts w:ascii="Times New Roman" w:hAnsi="Times New Roman"/>
                <w:color w:val="191919"/>
                <w:sz w:val="20"/>
                <w:szCs w:val="20"/>
              </w:rPr>
              <w:t xml:space="preserve">Art. 26 </w:t>
            </w:r>
            <w:r w:rsidRPr="0012148E">
              <w:rPr>
                <w:rFonts w:ascii="Times New Roman" w:hAnsi="Times New Roman"/>
                <w:color w:val="191919"/>
                <w:sz w:val="20"/>
                <w:szCs w:val="20"/>
              </w:rPr>
              <w:t xml:space="preserve">Veniturile obţinute din alte activităţi ce utilizează resursele recunoscute pentru desfăşurarea activităţii de transport aferente anului t - Vt(AA) cuprind: venituri din utilizarea SEN pentru schimburile de energie electrică programate cu țările </w:t>
            </w:r>
            <w:r w:rsidRPr="0012148E">
              <w:rPr>
                <w:rFonts w:ascii="Times New Roman" w:hAnsi="Times New Roman"/>
                <w:color w:val="191919"/>
                <w:sz w:val="20"/>
                <w:szCs w:val="20"/>
              </w:rPr>
              <w:lastRenderedPageBreak/>
              <w:t xml:space="preserve">perimetrice potrivit prevederilor Secţiunii nr.7, venituri din energie electrică reactivă, venituri din alte prestaţii, alte venituri de exploatare (cu excepţia veniturilor obţinute din dezmembrări nevalorificate, a celor înregistrate în contabilitate la nivelul cheltuielilor cu amortizarea mijloacelor fixe realizate din contribuţii financiare, a celor provenite din valorificarea bunurilor aparţinând domeniului public al statului şi a celor rezultate din anularea provizioanelor, a celor provenite din recuperarea cheltuielilor de judecată şi a altor cheltuieli asociate </w:t>
            </w:r>
            <w:r w:rsidRPr="0012148E">
              <w:rPr>
                <w:rFonts w:ascii="Times New Roman" w:hAnsi="Times New Roman"/>
                <w:b/>
                <w:color w:val="191919"/>
                <w:sz w:val="20"/>
                <w:szCs w:val="20"/>
              </w:rPr>
              <w:t>și a veniturilor obținute din penalități de întârziere</w:t>
            </w:r>
            <w:r w:rsidRPr="0012148E">
              <w:rPr>
                <w:rFonts w:ascii="Times New Roman" w:hAnsi="Times New Roman"/>
                <w:color w:val="191919"/>
                <w:sz w:val="20"/>
                <w:szCs w:val="20"/>
              </w:rPr>
              <w:t>.</w:t>
            </w:r>
          </w:p>
        </w:tc>
        <w:tc>
          <w:tcPr>
            <w:tcW w:w="2340" w:type="dxa"/>
            <w:shd w:val="clear" w:color="auto" w:fill="auto"/>
          </w:tcPr>
          <w:p w:rsidR="0012148E" w:rsidRPr="001A364C" w:rsidRDefault="0012148E" w:rsidP="005F5E4F">
            <w:pPr>
              <w:pStyle w:val="BodyTextIndent3"/>
              <w:spacing w:after="0" w:line="240" w:lineRule="auto"/>
              <w:ind w:left="0"/>
              <w:jc w:val="both"/>
              <w:rPr>
                <w:rFonts w:ascii="Times New Roman" w:hAnsi="Times New Roman"/>
                <w:sz w:val="20"/>
                <w:szCs w:val="20"/>
              </w:rPr>
            </w:pPr>
            <w:r w:rsidRPr="0012148E">
              <w:rPr>
                <w:rFonts w:ascii="Times New Roman" w:hAnsi="Times New Roman"/>
                <w:sz w:val="20"/>
                <w:szCs w:val="20"/>
              </w:rPr>
              <w:lastRenderedPageBreak/>
              <w:t xml:space="preserve">În condițiile în care costurile determinate de cheltuieli cu majorări de întârziere nu sunt incluse în determinarea venitului reglementat (Art. 17, lit. s) considerăm că </w:t>
            </w:r>
            <w:r w:rsidRPr="0012148E">
              <w:rPr>
                <w:rFonts w:ascii="Times New Roman" w:hAnsi="Times New Roman"/>
                <w:sz w:val="20"/>
                <w:szCs w:val="20"/>
              </w:rPr>
              <w:lastRenderedPageBreak/>
              <w:t>veniturile înregistrate de OTS  din penalități de întârziere nu trebuie scăzute din venitul reglementat, ele reprezentând sursa financiară necesară acoperirii cheltuielilor cu majorări de întârziere</w:t>
            </w:r>
          </w:p>
        </w:tc>
        <w:tc>
          <w:tcPr>
            <w:tcW w:w="2261" w:type="dxa"/>
          </w:tcPr>
          <w:p w:rsidR="00E97A79" w:rsidRDefault="00D10526" w:rsidP="003D789E">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lastRenderedPageBreak/>
              <w:t>Nu se acceptă.</w:t>
            </w:r>
            <w:r w:rsidR="00461211">
              <w:rPr>
                <w:rFonts w:ascii="Times New Roman" w:eastAsia="Batang" w:hAnsi="Times New Roman"/>
                <w:sz w:val="20"/>
                <w:szCs w:val="20"/>
                <w:lang w:eastAsia="ko-KR"/>
              </w:rPr>
              <w:t xml:space="preserve"> </w:t>
            </w:r>
            <w:r w:rsidR="00461211" w:rsidRPr="006F41EA">
              <w:rPr>
                <w:rFonts w:ascii="Times New Roman" w:eastAsia="Times New Roman" w:hAnsi="Times New Roman"/>
                <w:sz w:val="20"/>
                <w:szCs w:val="20"/>
                <w:lang w:eastAsia="ro-RO"/>
              </w:rPr>
              <w:t>Această prevedere nu face obiectul documentului de discuție.</w:t>
            </w:r>
            <w:r>
              <w:rPr>
                <w:rFonts w:ascii="Times New Roman" w:eastAsia="Batang" w:hAnsi="Times New Roman"/>
                <w:sz w:val="20"/>
                <w:szCs w:val="20"/>
                <w:lang w:eastAsia="ko-KR"/>
              </w:rPr>
              <w:t xml:space="preserve"> </w:t>
            </w:r>
            <w:r w:rsidR="00461211">
              <w:rPr>
                <w:rFonts w:ascii="Times New Roman" w:eastAsia="Batang" w:hAnsi="Times New Roman"/>
                <w:sz w:val="20"/>
                <w:szCs w:val="20"/>
                <w:lang w:eastAsia="ko-KR"/>
              </w:rPr>
              <w:t xml:space="preserve">În </w:t>
            </w:r>
            <w:r w:rsidR="003D789E">
              <w:rPr>
                <w:rFonts w:ascii="Times New Roman" w:eastAsia="Batang" w:hAnsi="Times New Roman"/>
                <w:sz w:val="20"/>
                <w:szCs w:val="20"/>
                <w:lang w:eastAsia="ko-KR"/>
              </w:rPr>
              <w:t>p</w:t>
            </w:r>
            <w:r w:rsidR="00461211">
              <w:rPr>
                <w:rFonts w:ascii="Times New Roman" w:eastAsia="Batang" w:hAnsi="Times New Roman"/>
                <w:sz w:val="20"/>
                <w:szCs w:val="20"/>
                <w:lang w:eastAsia="ko-KR"/>
              </w:rPr>
              <w:t>lus, prevederea este cea</w:t>
            </w:r>
            <w:r>
              <w:rPr>
                <w:rFonts w:ascii="Times New Roman" w:eastAsia="Batang" w:hAnsi="Times New Roman"/>
                <w:sz w:val="20"/>
                <w:szCs w:val="20"/>
                <w:lang w:eastAsia="ko-KR"/>
              </w:rPr>
              <w:t xml:space="preserve"> din Metodologia  în vigoare asu</w:t>
            </w:r>
            <w:r w:rsidR="00461211">
              <w:rPr>
                <w:rFonts w:ascii="Times New Roman" w:eastAsia="Batang" w:hAnsi="Times New Roman"/>
                <w:sz w:val="20"/>
                <w:szCs w:val="20"/>
                <w:lang w:eastAsia="ko-KR"/>
              </w:rPr>
              <w:t>p</w:t>
            </w:r>
            <w:r>
              <w:rPr>
                <w:rFonts w:ascii="Times New Roman" w:eastAsia="Batang" w:hAnsi="Times New Roman"/>
                <w:sz w:val="20"/>
                <w:szCs w:val="20"/>
                <w:lang w:eastAsia="ko-KR"/>
              </w:rPr>
              <w:t xml:space="preserve">ra căruia s-au făcut </w:t>
            </w:r>
            <w:r>
              <w:rPr>
                <w:rFonts w:ascii="Times New Roman" w:eastAsia="Batang" w:hAnsi="Times New Roman"/>
                <w:sz w:val="20"/>
                <w:szCs w:val="20"/>
                <w:lang w:eastAsia="ko-KR"/>
              </w:rPr>
              <w:lastRenderedPageBreak/>
              <w:t xml:space="preserve">observații la momentul la care </w:t>
            </w:r>
            <w:r w:rsidR="00BC2753">
              <w:rPr>
                <w:rFonts w:ascii="Times New Roman" w:eastAsia="Batang" w:hAnsi="Times New Roman"/>
                <w:sz w:val="20"/>
                <w:szCs w:val="20"/>
                <w:lang w:eastAsia="ko-KR"/>
              </w:rPr>
              <w:t xml:space="preserve">documentul </w:t>
            </w:r>
            <w:r>
              <w:rPr>
                <w:rFonts w:ascii="Times New Roman" w:eastAsia="Batang" w:hAnsi="Times New Roman"/>
                <w:sz w:val="20"/>
                <w:szCs w:val="20"/>
                <w:lang w:eastAsia="ko-KR"/>
              </w:rPr>
              <w:t xml:space="preserve">a fost supus </w:t>
            </w:r>
            <w:r w:rsidR="003D789E">
              <w:rPr>
                <w:rFonts w:ascii="Times New Roman" w:eastAsia="Batang" w:hAnsi="Times New Roman"/>
                <w:sz w:val="20"/>
                <w:szCs w:val="20"/>
                <w:lang w:eastAsia="ko-KR"/>
              </w:rPr>
              <w:t>consultării</w:t>
            </w:r>
            <w:r>
              <w:rPr>
                <w:rFonts w:ascii="Times New Roman" w:eastAsia="Batang" w:hAnsi="Times New Roman"/>
                <w:sz w:val="20"/>
                <w:szCs w:val="20"/>
                <w:lang w:eastAsia="ko-KR"/>
              </w:rPr>
              <w:t xml:space="preserve"> publice.</w:t>
            </w:r>
          </w:p>
          <w:p w:rsidR="0012148E" w:rsidRPr="00490DE3" w:rsidRDefault="00E97A79" w:rsidP="00BE1497">
            <w:pPr>
              <w:tabs>
                <w:tab w:val="left" w:pos="964"/>
                <w:tab w:val="left" w:pos="1080"/>
              </w:tabs>
              <w:spacing w:after="0" w:line="240" w:lineRule="auto"/>
              <w:jc w:val="both"/>
              <w:rPr>
                <w:rFonts w:ascii="Times New Roman" w:eastAsia="Batang" w:hAnsi="Times New Roman"/>
                <w:sz w:val="20"/>
                <w:szCs w:val="20"/>
                <w:lang w:eastAsia="ko-KR"/>
              </w:rPr>
            </w:pPr>
            <w:r w:rsidRPr="00490DE3">
              <w:rPr>
                <w:rFonts w:ascii="Times New Roman" w:eastAsia="Batang" w:hAnsi="Times New Roman"/>
                <w:sz w:val="20"/>
                <w:szCs w:val="20"/>
                <w:lang w:eastAsia="ko-KR"/>
              </w:rPr>
              <w:t xml:space="preserve">În plus conform </w:t>
            </w:r>
            <w:r w:rsidR="00BE1497" w:rsidRPr="00490DE3">
              <w:rPr>
                <w:rFonts w:ascii="Times New Roman" w:eastAsia="Batang" w:hAnsi="Times New Roman"/>
                <w:sz w:val="20"/>
                <w:szCs w:val="20"/>
                <w:lang w:eastAsia="ko-KR"/>
              </w:rPr>
              <w:t>situațiilor financiare la 31 decembrie 2019, OTS dispunea de un flux de numerar pozitiv.</w:t>
            </w:r>
          </w:p>
          <w:p w:rsidR="00545975" w:rsidRPr="001A364C" w:rsidRDefault="00545975" w:rsidP="00BE1497">
            <w:pPr>
              <w:tabs>
                <w:tab w:val="left" w:pos="964"/>
                <w:tab w:val="left" w:pos="1080"/>
              </w:tabs>
              <w:spacing w:after="0" w:line="240" w:lineRule="auto"/>
              <w:jc w:val="both"/>
              <w:rPr>
                <w:rFonts w:ascii="Times New Roman" w:eastAsia="Batang" w:hAnsi="Times New Roman"/>
                <w:sz w:val="20"/>
                <w:szCs w:val="20"/>
                <w:lang w:eastAsia="ko-KR"/>
              </w:rPr>
            </w:pPr>
          </w:p>
        </w:tc>
      </w:tr>
      <w:tr w:rsidR="004900B2" w:rsidRPr="001A364C" w:rsidTr="00AF1123">
        <w:trPr>
          <w:trHeight w:val="562"/>
        </w:trPr>
        <w:tc>
          <w:tcPr>
            <w:tcW w:w="473" w:type="dxa"/>
            <w:shd w:val="clear" w:color="auto" w:fill="auto"/>
          </w:tcPr>
          <w:p w:rsidR="004900B2" w:rsidRPr="001A364C" w:rsidRDefault="004900B2"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62" w:type="dxa"/>
          </w:tcPr>
          <w:p w:rsidR="004900B2" w:rsidRDefault="004900B2" w:rsidP="005F5E4F">
            <w:pPr>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Art. 34</w:t>
            </w:r>
          </w:p>
        </w:tc>
        <w:tc>
          <w:tcPr>
            <w:tcW w:w="3060" w:type="dxa"/>
            <w:shd w:val="clear" w:color="auto" w:fill="auto"/>
          </w:tcPr>
          <w:p w:rsidR="004900B2" w:rsidRPr="004900B2" w:rsidRDefault="00063031" w:rsidP="00063031">
            <w:pPr>
              <w:spacing w:after="0" w:line="240" w:lineRule="auto"/>
              <w:jc w:val="both"/>
              <w:rPr>
                <w:rFonts w:ascii="Times New Roman" w:hAnsi="Times New Roman"/>
                <w:sz w:val="20"/>
                <w:szCs w:val="20"/>
              </w:rPr>
            </w:pPr>
            <w:r>
              <w:rPr>
                <w:rFonts w:ascii="Times New Roman" w:hAnsi="Times New Roman"/>
                <w:sz w:val="20"/>
                <w:szCs w:val="20"/>
              </w:rPr>
              <w:t>(3)</w:t>
            </w:r>
            <w:r w:rsidR="002C6430">
              <w:rPr>
                <w:rFonts w:ascii="Times New Roman" w:hAnsi="Times New Roman"/>
                <w:sz w:val="20"/>
                <w:szCs w:val="20"/>
              </w:rPr>
              <w:t xml:space="preserve"> </w:t>
            </w:r>
            <w:r w:rsidR="004900B2" w:rsidRPr="004900B2">
              <w:rPr>
                <w:rFonts w:ascii="Times New Roman" w:hAnsi="Times New Roman"/>
                <w:sz w:val="20"/>
                <w:szCs w:val="20"/>
              </w:rPr>
              <w:t xml:space="preserve">Costurile de operare şi mentenanţă controlabile prognozate pentru fiecare an al perioadei de reglementare </w:t>
            </w:r>
            <w:r w:rsidR="004900B2" w:rsidRPr="00063031">
              <w:rPr>
                <w:rFonts w:ascii="Times New Roman" w:hAnsi="Times New Roman"/>
                <w:sz w:val="20"/>
                <w:szCs w:val="20"/>
              </w:rPr>
              <w:t>p</w:t>
            </w:r>
            <w:r w:rsidR="004900B2" w:rsidRPr="004900B2">
              <w:rPr>
                <w:rFonts w:ascii="Times New Roman" w:hAnsi="Times New Roman"/>
                <w:sz w:val="20"/>
                <w:szCs w:val="20"/>
              </w:rPr>
              <w:t xml:space="preserve"> nu depǎşesc valoarea calculată ca medie aritmetică anuală a costurilor de operare şi mentenanţă realizate în perioada de reglementare </w:t>
            </w:r>
            <w:r w:rsidR="004900B2" w:rsidRPr="00063031">
              <w:rPr>
                <w:rFonts w:ascii="Times New Roman" w:hAnsi="Times New Roman"/>
                <w:sz w:val="20"/>
                <w:szCs w:val="20"/>
              </w:rPr>
              <w:t>p-1</w:t>
            </w:r>
            <w:r w:rsidR="004900B2" w:rsidRPr="004900B2">
              <w:rPr>
                <w:rFonts w:ascii="Times New Roman" w:hAnsi="Times New Roman"/>
                <w:sz w:val="20"/>
                <w:szCs w:val="20"/>
              </w:rPr>
              <w:t xml:space="preserve"> și în perioada de tranziție şi corectate conform prevederilor prezentei metodologii, exprimată în termeni reali ai anului de referință, la care se adaugă jumătate din media aritmetică a câştigurilor de eficienţă recunoscute de ANRE în perioada de reglementare </w:t>
            </w:r>
            <w:r w:rsidR="004900B2" w:rsidRPr="00063031">
              <w:rPr>
                <w:rFonts w:ascii="Times New Roman" w:hAnsi="Times New Roman"/>
                <w:sz w:val="20"/>
                <w:szCs w:val="20"/>
              </w:rPr>
              <w:t>p-1</w:t>
            </w:r>
            <w:r w:rsidR="004900B2" w:rsidRPr="004900B2">
              <w:rPr>
                <w:rFonts w:ascii="Times New Roman" w:hAnsi="Times New Roman"/>
                <w:sz w:val="20"/>
                <w:szCs w:val="20"/>
              </w:rPr>
              <w:t xml:space="preserve">. </w:t>
            </w:r>
          </w:p>
        </w:tc>
        <w:tc>
          <w:tcPr>
            <w:tcW w:w="3420" w:type="dxa"/>
          </w:tcPr>
          <w:p w:rsidR="004900B2" w:rsidRPr="004900B2" w:rsidRDefault="004900B2" w:rsidP="001A364C">
            <w:pPr>
              <w:spacing w:after="0" w:line="240" w:lineRule="auto"/>
              <w:jc w:val="both"/>
              <w:rPr>
                <w:rFonts w:ascii="Times New Roman" w:hAnsi="Times New Roman"/>
                <w:sz w:val="20"/>
                <w:szCs w:val="20"/>
              </w:rPr>
            </w:pPr>
            <w:r w:rsidRPr="004900B2">
              <w:rPr>
                <w:rFonts w:ascii="Times New Roman" w:hAnsi="Times New Roman"/>
                <w:sz w:val="20"/>
                <w:szCs w:val="20"/>
              </w:rPr>
              <w:t xml:space="preserve">(3) Costurile de operare şi mentenanţă controlabile aferente activității de transport prognozate </w:t>
            </w:r>
            <w:r w:rsidRPr="004900B2">
              <w:rPr>
                <w:rFonts w:ascii="Times New Roman" w:hAnsi="Times New Roman"/>
                <w:b/>
                <w:sz w:val="20"/>
                <w:szCs w:val="20"/>
              </w:rPr>
              <w:t>pentru primul an</w:t>
            </w:r>
            <w:r w:rsidRPr="004900B2">
              <w:rPr>
                <w:rFonts w:ascii="Times New Roman" w:hAnsi="Times New Roman"/>
                <w:sz w:val="20"/>
                <w:szCs w:val="20"/>
              </w:rPr>
              <w:t xml:space="preserve"> al perioadei de reglementare </w:t>
            </w:r>
            <w:r w:rsidRPr="004900B2">
              <w:rPr>
                <w:rFonts w:ascii="Times New Roman" w:hAnsi="Times New Roman"/>
                <w:i/>
                <w:iCs/>
                <w:sz w:val="20"/>
                <w:szCs w:val="20"/>
              </w:rPr>
              <w:t>p</w:t>
            </w:r>
            <w:r w:rsidRPr="004900B2">
              <w:rPr>
                <w:rFonts w:ascii="Times New Roman" w:hAnsi="Times New Roman"/>
                <w:sz w:val="20"/>
                <w:szCs w:val="20"/>
              </w:rPr>
              <w:t xml:space="preserve"> nu depǎşesc valoarea calculată ca medie aritmetică anuală a costurilor de operare şi mentenanţă realizate în perioada de reglementare </w:t>
            </w:r>
            <w:r w:rsidRPr="004900B2">
              <w:rPr>
                <w:rFonts w:ascii="Times New Roman" w:hAnsi="Times New Roman"/>
                <w:i/>
                <w:iCs/>
                <w:sz w:val="20"/>
                <w:szCs w:val="20"/>
              </w:rPr>
              <w:t>p-1</w:t>
            </w:r>
            <w:r w:rsidRPr="004900B2">
              <w:rPr>
                <w:rFonts w:ascii="Times New Roman" w:hAnsi="Times New Roman"/>
                <w:sz w:val="20"/>
                <w:szCs w:val="20"/>
              </w:rPr>
              <w:t xml:space="preserve"> și în perioada de tranziție şi corectate conform prevederilor prezentei metodologii, exprimată în termeni reali ai anului de referință, la care se adaugă jumătate din media aritmetică a câştigurilor de eficienţă recunoscute de ANRE în perioada de reglementare </w:t>
            </w:r>
            <w:r w:rsidRPr="004900B2">
              <w:rPr>
                <w:rFonts w:ascii="Times New Roman" w:hAnsi="Times New Roman"/>
                <w:i/>
                <w:iCs/>
                <w:sz w:val="20"/>
                <w:szCs w:val="20"/>
              </w:rPr>
              <w:t>p-1</w:t>
            </w:r>
            <w:r w:rsidRPr="004900B2">
              <w:rPr>
                <w:rFonts w:ascii="Times New Roman" w:hAnsi="Times New Roman"/>
                <w:sz w:val="20"/>
                <w:szCs w:val="20"/>
              </w:rPr>
              <w:t>.</w:t>
            </w:r>
          </w:p>
        </w:tc>
        <w:tc>
          <w:tcPr>
            <w:tcW w:w="3420" w:type="dxa"/>
            <w:shd w:val="clear" w:color="auto" w:fill="auto"/>
          </w:tcPr>
          <w:p w:rsidR="004900B2" w:rsidRPr="00E37B53" w:rsidRDefault="00E37B53" w:rsidP="00E37B53">
            <w:pPr>
              <w:pStyle w:val="BodyTextIndent3"/>
              <w:spacing w:after="0" w:line="240" w:lineRule="auto"/>
              <w:ind w:left="0"/>
              <w:jc w:val="both"/>
              <w:rPr>
                <w:rFonts w:ascii="Times New Roman" w:hAnsi="Times New Roman"/>
                <w:sz w:val="20"/>
                <w:szCs w:val="20"/>
              </w:rPr>
            </w:pPr>
            <w:r w:rsidRPr="00F87C4A">
              <w:rPr>
                <w:rFonts w:ascii="Times New Roman" w:hAnsi="Times New Roman"/>
                <w:sz w:val="20"/>
                <w:szCs w:val="20"/>
              </w:rPr>
              <w:t>Stabilirea plafonului maximal general aplicabil costurilor de operare și mentenanță controlabile pentru perioada de reglementare 2020 – 2024 se determină prin însumarea valorilor medii anuale ale următoarelor trei componente: i) costurile de personal prognozate pentru 2020 -2024 (inclusiv securitatea și sănătatea muncii), ii) costurile cu mentenanța prognozate pentru 2020 – 2024 și iii) alte costuri determinate ca medie anuală istorică calculată pe perioada de reglementare precedentă</w:t>
            </w:r>
          </w:p>
        </w:tc>
        <w:tc>
          <w:tcPr>
            <w:tcW w:w="2340" w:type="dxa"/>
            <w:shd w:val="clear" w:color="auto" w:fill="auto"/>
          </w:tcPr>
          <w:p w:rsidR="00E50AE4" w:rsidRPr="00E50AE4" w:rsidRDefault="00E50AE4" w:rsidP="00E61ABE">
            <w:pPr>
              <w:pStyle w:val="BodyTextIndent3"/>
              <w:spacing w:after="0" w:line="240" w:lineRule="auto"/>
              <w:ind w:left="16"/>
              <w:jc w:val="both"/>
              <w:rPr>
                <w:rFonts w:ascii="Times New Roman" w:hAnsi="Times New Roman"/>
                <w:sz w:val="20"/>
                <w:szCs w:val="20"/>
              </w:rPr>
            </w:pPr>
            <w:r>
              <w:rPr>
                <w:rFonts w:ascii="Times New Roman" w:hAnsi="Times New Roman"/>
                <w:sz w:val="20"/>
                <w:szCs w:val="20"/>
              </w:rPr>
              <w:t>Î</w:t>
            </w:r>
            <w:r w:rsidRPr="00E50AE4">
              <w:rPr>
                <w:rFonts w:ascii="Times New Roman" w:hAnsi="Times New Roman"/>
                <w:sz w:val="20"/>
                <w:szCs w:val="20"/>
              </w:rPr>
              <w:t xml:space="preserve">ncadrarea costurilor totale în plafonul maximal general stabilit pe baza istorică în conformitate cu metodologia ANRE, în condiţiile în care cele două componente principale - costurile de personal şi mentenanţa reţelei - s-au situat în trecut la niveluri scăzute şi vor fi aduse la un nivel adecvat în perioada de reglementare actuală, va pune o presiune disproporţionată pe </w:t>
            </w:r>
            <w:r w:rsidRPr="00E50AE4">
              <w:rPr>
                <w:rFonts w:ascii="Times New Roman" w:hAnsi="Times New Roman"/>
                <w:sz w:val="20"/>
                <w:szCs w:val="20"/>
              </w:rPr>
              <w:lastRenderedPageBreak/>
              <w:t xml:space="preserve">celelalte costuri din cadrul costurilor de operare şi mentenanţă controlabile. Aceste alte costuri au în componenţă necesităţi importante în funcţionarea Companiei, dintre care exemplificăm: energia electrică necesară acoperirii serviciilor interne din staţiile de transformare RET şi uzului administrativ, servicii IT&amp;C, protecţia civila şi securitatea instalaţiilor, studii şi cercetări, chirii, asigurări şi alte cheltuieli de întreprindere necesare funcţionării societăţii. Menţionăm că sub incidenţa constrângerii determinate de impunerea încadrării în plafonul maximal determinat pe baza istorică, la programarea costurilor stabilită pentru perioada de reglementare 2020-2024 valoarea aferentă altor costuri acoperă doar cca. 60% din nivelul real al acestor costuri (a se vedea ultimul an tarifar al perioadei de reglementare </w:t>
            </w:r>
            <w:r w:rsidRPr="00E50AE4">
              <w:rPr>
                <w:rFonts w:ascii="Times New Roman" w:hAnsi="Times New Roman"/>
                <w:sz w:val="20"/>
                <w:szCs w:val="20"/>
              </w:rPr>
              <w:lastRenderedPageBreak/>
              <w:t>precedente). În situaţia alinierii nivelului salarial practicat de OTS la nivelul sectorului dar cu menţinerea constrângerii de încadrare a totalului costurilor de operare şi mentenanţă în plafonul stabilit de ANRE, acoperirea prin tarif a componentei “alte costuri” ar scădea şi mai mult.</w:t>
            </w:r>
          </w:p>
          <w:p w:rsidR="00E50AE4" w:rsidRPr="00E50AE4" w:rsidRDefault="00E50AE4" w:rsidP="00304462">
            <w:pPr>
              <w:pStyle w:val="BodyTextIndent3"/>
              <w:spacing w:after="0" w:line="240" w:lineRule="auto"/>
              <w:ind w:left="-164" w:firstLine="180"/>
              <w:jc w:val="both"/>
              <w:rPr>
                <w:rFonts w:ascii="Times New Roman" w:hAnsi="Times New Roman"/>
                <w:sz w:val="20"/>
                <w:szCs w:val="20"/>
              </w:rPr>
            </w:pPr>
            <w:r w:rsidRPr="00E50AE4">
              <w:rPr>
                <w:rFonts w:ascii="Times New Roman" w:hAnsi="Times New Roman"/>
                <w:sz w:val="20"/>
                <w:szCs w:val="20"/>
              </w:rPr>
              <w:t>Aspectele principiale menţionate mai sus au fost semnalate de Transelectrica şi în corespondenţa anterioară derulată cu ocazia stabilirii parametrilor tarifului şi programării costurilor activităţii de transport pentru perioada de reglementare 2020-2024 (adresa OTS nr. 46901/08.11.2019).</w:t>
            </w:r>
          </w:p>
          <w:p w:rsidR="00E50AE4" w:rsidRPr="00E50AE4" w:rsidRDefault="00E50AE4" w:rsidP="00304462">
            <w:pPr>
              <w:pStyle w:val="BodyTextIndent3"/>
              <w:spacing w:after="0" w:line="240" w:lineRule="auto"/>
              <w:ind w:left="-164" w:firstLine="180"/>
              <w:jc w:val="both"/>
              <w:rPr>
                <w:rFonts w:ascii="Times New Roman" w:hAnsi="Times New Roman"/>
                <w:sz w:val="20"/>
                <w:szCs w:val="20"/>
              </w:rPr>
            </w:pPr>
            <w:r w:rsidRPr="00E50AE4">
              <w:rPr>
                <w:rFonts w:ascii="Times New Roman" w:hAnsi="Times New Roman"/>
                <w:sz w:val="20"/>
                <w:szCs w:val="20"/>
              </w:rPr>
              <w:t xml:space="preserve">Soluţia propusă: </w:t>
            </w:r>
          </w:p>
          <w:p w:rsidR="004900B2" w:rsidRPr="001A364C" w:rsidRDefault="00E50AE4" w:rsidP="00E50AE4">
            <w:pPr>
              <w:pStyle w:val="BodyTextIndent3"/>
              <w:spacing w:after="0" w:line="240" w:lineRule="auto"/>
              <w:ind w:left="0"/>
              <w:jc w:val="both"/>
              <w:rPr>
                <w:rFonts w:ascii="Times New Roman" w:hAnsi="Times New Roman"/>
                <w:sz w:val="20"/>
                <w:szCs w:val="20"/>
              </w:rPr>
            </w:pPr>
            <w:r w:rsidRPr="00E50AE4">
              <w:rPr>
                <w:rFonts w:ascii="Times New Roman" w:hAnsi="Times New Roman"/>
                <w:sz w:val="20"/>
                <w:szCs w:val="20"/>
              </w:rPr>
              <w:t xml:space="preserve">Eliminarea costurilor de personal şi a costurilor cu mentenanţa din calculul mediei istorice, având în vedere că nivelul scăzut al cheltuielilor realizate în perioada luată ca referinţă nu poate constitui un reper adecvat pentru </w:t>
            </w:r>
            <w:r w:rsidRPr="00E50AE4">
              <w:rPr>
                <w:rFonts w:ascii="Times New Roman" w:hAnsi="Times New Roman"/>
                <w:sz w:val="20"/>
                <w:szCs w:val="20"/>
              </w:rPr>
              <w:lastRenderedPageBreak/>
              <w:t>dimensionarea acestor costuri în următorii ani. Aplicarea metodei mediei istorice doar componentei „alte costuri”, aceasta fiind singura componentă pentru care media istorică reprezintă o referinţă adecvată.</w:t>
            </w:r>
          </w:p>
        </w:tc>
        <w:tc>
          <w:tcPr>
            <w:tcW w:w="2261" w:type="dxa"/>
          </w:tcPr>
          <w:p w:rsidR="00A57CBB" w:rsidRDefault="00E50AE4" w:rsidP="00A57CBB">
            <w:pPr>
              <w:pStyle w:val="ListParagraph"/>
              <w:tabs>
                <w:tab w:val="left" w:pos="964"/>
                <w:tab w:val="left" w:pos="1080"/>
              </w:tabs>
              <w:spacing w:after="0" w:line="240" w:lineRule="auto"/>
              <w:ind w:left="-74"/>
              <w:jc w:val="both"/>
              <w:rPr>
                <w:rFonts w:ascii="Times New Roman" w:eastAsia="Batang" w:hAnsi="Times New Roman"/>
                <w:sz w:val="20"/>
                <w:szCs w:val="20"/>
                <w:lang w:eastAsia="ko-KR"/>
              </w:rPr>
            </w:pPr>
            <w:r>
              <w:rPr>
                <w:rFonts w:ascii="Times New Roman" w:eastAsia="Batang" w:hAnsi="Times New Roman"/>
                <w:sz w:val="20"/>
                <w:szCs w:val="20"/>
                <w:lang w:eastAsia="ko-KR"/>
              </w:rPr>
              <w:lastRenderedPageBreak/>
              <w:t xml:space="preserve">Potrivit modificării art. 34 alin. (3) și (4) limitarea costurilor de operare și mentenanță controlabile este </w:t>
            </w:r>
            <w:r w:rsidR="00A57CBB">
              <w:rPr>
                <w:rFonts w:ascii="Times New Roman" w:eastAsia="Batang" w:hAnsi="Times New Roman"/>
                <w:sz w:val="20"/>
                <w:szCs w:val="20"/>
                <w:lang w:eastAsia="ko-KR"/>
              </w:rPr>
              <w:t xml:space="preserve">doar </w:t>
            </w:r>
            <w:r>
              <w:rPr>
                <w:rFonts w:ascii="Times New Roman" w:eastAsia="Batang" w:hAnsi="Times New Roman"/>
                <w:sz w:val="20"/>
                <w:szCs w:val="20"/>
                <w:lang w:eastAsia="ko-KR"/>
              </w:rPr>
              <w:t>pentru primul an al perioadei</w:t>
            </w:r>
            <w:r w:rsidR="00A57CBB">
              <w:rPr>
                <w:rFonts w:ascii="Times New Roman" w:eastAsia="Batang" w:hAnsi="Times New Roman"/>
                <w:sz w:val="20"/>
                <w:szCs w:val="20"/>
                <w:lang w:eastAsia="ko-KR"/>
              </w:rPr>
              <w:t xml:space="preserve"> </w:t>
            </w:r>
            <w:r>
              <w:rPr>
                <w:rFonts w:ascii="Times New Roman" w:eastAsia="Batang" w:hAnsi="Times New Roman"/>
                <w:sz w:val="20"/>
                <w:szCs w:val="20"/>
                <w:lang w:eastAsia="ko-KR"/>
              </w:rPr>
              <w:t>de reglementare</w:t>
            </w:r>
            <w:r w:rsidR="00A57CBB">
              <w:rPr>
                <w:rFonts w:ascii="Times New Roman" w:eastAsia="Batang" w:hAnsi="Times New Roman"/>
                <w:sz w:val="20"/>
                <w:szCs w:val="20"/>
                <w:lang w:eastAsia="ko-KR"/>
              </w:rPr>
              <w:t xml:space="preserve"> având în vedere principiul neretroactivității, aceste costuri fiind deja setate și incluse în tariful pentru anul 2020. </w:t>
            </w:r>
          </w:p>
          <w:p w:rsidR="00E50AE4" w:rsidRDefault="00A57CBB" w:rsidP="00A57CBB">
            <w:pPr>
              <w:pStyle w:val="ListParagraph"/>
              <w:tabs>
                <w:tab w:val="left" w:pos="964"/>
                <w:tab w:val="left" w:pos="1080"/>
              </w:tabs>
              <w:spacing w:after="0" w:line="240" w:lineRule="auto"/>
              <w:ind w:left="-74"/>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Începând cu al doilea an, costurile cu personalul și securitatea muncii nu vor mai fi limitate la media realizată în perioda de </w:t>
            </w:r>
            <w:r>
              <w:rPr>
                <w:rFonts w:ascii="Times New Roman" w:eastAsia="Batang" w:hAnsi="Times New Roman"/>
                <w:sz w:val="20"/>
                <w:szCs w:val="20"/>
                <w:lang w:eastAsia="ko-KR"/>
              </w:rPr>
              <w:lastRenderedPageBreak/>
              <w:t>reglementare anterioară ele fiind prognozate conform art. 31 alin. (1) și (2).</w:t>
            </w:r>
          </w:p>
          <w:p w:rsidR="00A57CBB" w:rsidRDefault="00A57CBB" w:rsidP="00A57CBB">
            <w:pPr>
              <w:pStyle w:val="ListParagraph"/>
              <w:tabs>
                <w:tab w:val="left" w:pos="964"/>
                <w:tab w:val="left" w:pos="1080"/>
              </w:tabs>
              <w:spacing w:after="0" w:line="240" w:lineRule="auto"/>
              <w:ind w:left="-74"/>
              <w:jc w:val="both"/>
              <w:rPr>
                <w:rFonts w:ascii="Times New Roman" w:eastAsia="Batang" w:hAnsi="Times New Roman"/>
                <w:sz w:val="20"/>
                <w:szCs w:val="20"/>
                <w:lang w:eastAsia="ko-KR"/>
              </w:rPr>
            </w:pPr>
            <w:r>
              <w:rPr>
                <w:rFonts w:ascii="Times New Roman" w:eastAsia="Batang" w:hAnsi="Times New Roman"/>
                <w:sz w:val="20"/>
                <w:szCs w:val="20"/>
                <w:lang w:eastAsia="ko-KR"/>
              </w:rPr>
              <w:t>Pentru costurile cu mentenanța</w:t>
            </w:r>
            <w:r w:rsidR="009A15D0">
              <w:rPr>
                <w:rFonts w:ascii="Times New Roman" w:eastAsia="Batang" w:hAnsi="Times New Roman"/>
                <w:sz w:val="20"/>
                <w:szCs w:val="20"/>
                <w:lang w:eastAsia="ko-KR"/>
              </w:rPr>
              <w:t xml:space="preserve"> și alte costuri </w:t>
            </w:r>
            <w:r>
              <w:rPr>
                <w:rFonts w:ascii="Times New Roman" w:eastAsia="Batang" w:hAnsi="Times New Roman"/>
                <w:sz w:val="20"/>
                <w:szCs w:val="20"/>
                <w:lang w:eastAsia="ko-KR"/>
              </w:rPr>
              <w:t xml:space="preserve"> acestea vor fi limitate la media realizată în perioada  de reglementare anterioară datorită </w:t>
            </w:r>
            <w:r w:rsidR="002A7935">
              <w:rPr>
                <w:rFonts w:ascii="Times New Roman" w:eastAsia="Batang" w:hAnsi="Times New Roman"/>
                <w:sz w:val="20"/>
                <w:szCs w:val="20"/>
                <w:lang w:eastAsia="ko-KR"/>
              </w:rPr>
              <w:t>factorului de eficență care s-a aplicat din primul an al perioadei de reglementare în curs.</w:t>
            </w:r>
          </w:p>
          <w:p w:rsidR="004A0A50" w:rsidRPr="00E50AE4" w:rsidRDefault="004A0A50" w:rsidP="000607B6">
            <w:pPr>
              <w:pStyle w:val="ListParagraph"/>
              <w:tabs>
                <w:tab w:val="left" w:pos="964"/>
                <w:tab w:val="left" w:pos="1080"/>
              </w:tabs>
              <w:spacing w:after="0" w:line="240" w:lineRule="auto"/>
              <w:ind w:left="-74"/>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Legat de costurile de operare trebuie avut în vedere </w:t>
            </w:r>
            <w:r w:rsidR="00300A71">
              <w:rPr>
                <w:rFonts w:ascii="Times New Roman" w:eastAsia="Batang" w:hAnsi="Times New Roman"/>
                <w:sz w:val="20"/>
                <w:szCs w:val="20"/>
                <w:lang w:eastAsia="ko-KR"/>
              </w:rPr>
              <w:t xml:space="preserve">și faptul </w:t>
            </w:r>
            <w:r>
              <w:rPr>
                <w:rFonts w:ascii="Times New Roman" w:eastAsia="Batang" w:hAnsi="Times New Roman"/>
                <w:sz w:val="20"/>
                <w:szCs w:val="20"/>
                <w:lang w:eastAsia="ko-KR"/>
              </w:rPr>
              <w:t>că o parte di</w:t>
            </w:r>
            <w:r w:rsidR="002C6430">
              <w:rPr>
                <w:rFonts w:ascii="Times New Roman" w:eastAsia="Batang" w:hAnsi="Times New Roman"/>
                <w:sz w:val="20"/>
                <w:szCs w:val="20"/>
                <w:lang w:eastAsia="ko-KR"/>
              </w:rPr>
              <w:t>n activități se vor desfăș</w:t>
            </w:r>
            <w:r w:rsidR="00300A71">
              <w:rPr>
                <w:rFonts w:ascii="Times New Roman" w:eastAsia="Batang" w:hAnsi="Times New Roman"/>
                <w:sz w:val="20"/>
                <w:szCs w:val="20"/>
                <w:lang w:eastAsia="ko-KR"/>
              </w:rPr>
              <w:t>ura l</w:t>
            </w:r>
            <w:r>
              <w:rPr>
                <w:rFonts w:ascii="Times New Roman" w:eastAsia="Batang" w:hAnsi="Times New Roman"/>
                <w:sz w:val="20"/>
                <w:szCs w:val="20"/>
                <w:lang w:eastAsia="ko-KR"/>
              </w:rPr>
              <w:t>a</w:t>
            </w:r>
            <w:r w:rsidR="00300A71">
              <w:rPr>
                <w:rFonts w:ascii="Times New Roman" w:eastAsia="Batang" w:hAnsi="Times New Roman"/>
                <w:sz w:val="20"/>
                <w:szCs w:val="20"/>
                <w:lang w:eastAsia="ko-KR"/>
              </w:rPr>
              <w:t xml:space="preserve"> </w:t>
            </w:r>
            <w:r>
              <w:rPr>
                <w:rFonts w:ascii="Times New Roman" w:eastAsia="Batang" w:hAnsi="Times New Roman"/>
                <w:sz w:val="20"/>
                <w:szCs w:val="20"/>
                <w:lang w:eastAsia="ko-KR"/>
              </w:rPr>
              <w:t xml:space="preserve">nivel regional, ceea ce introduce costuri suplimentare care sunt recunoscute </w:t>
            </w:r>
            <w:r w:rsidR="00300A71">
              <w:rPr>
                <w:rFonts w:ascii="Times New Roman" w:eastAsia="Batang" w:hAnsi="Times New Roman"/>
                <w:sz w:val="20"/>
                <w:szCs w:val="20"/>
                <w:lang w:eastAsia="ko-KR"/>
              </w:rPr>
              <w:t>î</w:t>
            </w:r>
            <w:r>
              <w:rPr>
                <w:rFonts w:ascii="Times New Roman" w:eastAsia="Batang" w:hAnsi="Times New Roman"/>
                <w:sz w:val="20"/>
                <w:szCs w:val="20"/>
                <w:lang w:eastAsia="ko-KR"/>
              </w:rPr>
              <w:t>ntr-o alt</w:t>
            </w:r>
            <w:r w:rsidR="000607B6">
              <w:rPr>
                <w:rFonts w:ascii="Times New Roman" w:eastAsia="Batang" w:hAnsi="Times New Roman"/>
                <w:sz w:val="20"/>
                <w:szCs w:val="20"/>
                <w:lang w:eastAsia="ko-KR"/>
              </w:rPr>
              <w:t>ă</w:t>
            </w:r>
            <w:r>
              <w:rPr>
                <w:rFonts w:ascii="Times New Roman" w:eastAsia="Batang" w:hAnsi="Times New Roman"/>
                <w:sz w:val="20"/>
                <w:szCs w:val="20"/>
                <w:lang w:eastAsia="ko-KR"/>
              </w:rPr>
              <w:t xml:space="preserve"> categorie.</w:t>
            </w:r>
          </w:p>
        </w:tc>
      </w:tr>
      <w:tr w:rsidR="00A93AE9" w:rsidRPr="004900B2" w:rsidTr="00AF1123">
        <w:trPr>
          <w:trHeight w:val="562"/>
        </w:trPr>
        <w:tc>
          <w:tcPr>
            <w:tcW w:w="473" w:type="dxa"/>
            <w:shd w:val="clear" w:color="auto" w:fill="auto"/>
          </w:tcPr>
          <w:p w:rsidR="00A93AE9" w:rsidRPr="004900B2" w:rsidRDefault="00A93AE9" w:rsidP="00A93AE9">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62" w:type="dxa"/>
          </w:tcPr>
          <w:p w:rsidR="00A93AE9" w:rsidRPr="004900B2" w:rsidRDefault="00A93AE9" w:rsidP="00A93AE9">
            <w:pPr>
              <w:spacing w:after="0" w:line="240" w:lineRule="auto"/>
              <w:jc w:val="both"/>
              <w:rPr>
                <w:rFonts w:ascii="Times New Roman" w:eastAsia="Batang" w:hAnsi="Times New Roman"/>
                <w:sz w:val="20"/>
                <w:szCs w:val="20"/>
                <w:lang w:eastAsia="ko-KR"/>
              </w:rPr>
            </w:pPr>
          </w:p>
        </w:tc>
        <w:tc>
          <w:tcPr>
            <w:tcW w:w="3060" w:type="dxa"/>
            <w:shd w:val="clear" w:color="auto" w:fill="auto"/>
          </w:tcPr>
          <w:p w:rsidR="00A93AE9" w:rsidRPr="004900B2" w:rsidRDefault="00A93AE9" w:rsidP="00A93AE9">
            <w:pPr>
              <w:spacing w:after="0" w:line="240" w:lineRule="auto"/>
              <w:jc w:val="both"/>
              <w:rPr>
                <w:sz w:val="20"/>
                <w:szCs w:val="20"/>
              </w:rPr>
            </w:pPr>
            <w:r>
              <w:rPr>
                <w:rFonts w:ascii="Times New Roman" w:hAnsi="Times New Roman"/>
                <w:sz w:val="20"/>
                <w:szCs w:val="20"/>
              </w:rPr>
              <w:t xml:space="preserve">(4) </w:t>
            </w:r>
            <w:r w:rsidRPr="004900B2">
              <w:rPr>
                <w:rFonts w:ascii="Times New Roman" w:hAnsi="Times New Roman"/>
                <w:sz w:val="20"/>
                <w:szCs w:val="20"/>
              </w:rPr>
              <w:t xml:space="preserve">Prevederile alin. (3) nu se aplică în cazul în care media anuală a costurilor de operare şi mentenanţă realizate în perioada de reglementare </w:t>
            </w:r>
            <w:r w:rsidRPr="004900B2">
              <w:rPr>
                <w:rFonts w:ascii="Times New Roman" w:hAnsi="Times New Roman"/>
                <w:i/>
                <w:sz w:val="20"/>
                <w:szCs w:val="20"/>
              </w:rPr>
              <w:t xml:space="preserve">p-1 </w:t>
            </w:r>
            <w:r w:rsidRPr="004900B2">
              <w:rPr>
                <w:rFonts w:ascii="Times New Roman" w:hAnsi="Times New Roman"/>
                <w:sz w:val="20"/>
                <w:szCs w:val="20"/>
              </w:rPr>
              <w:t>și în perioada de tranziție</w:t>
            </w:r>
            <w:r w:rsidRPr="004900B2">
              <w:rPr>
                <w:rFonts w:ascii="Times New Roman" w:hAnsi="Times New Roman"/>
                <w:i/>
                <w:sz w:val="20"/>
                <w:szCs w:val="20"/>
              </w:rPr>
              <w:t xml:space="preserve"> </w:t>
            </w:r>
            <w:r w:rsidRPr="004900B2">
              <w:rPr>
                <w:rFonts w:ascii="Times New Roman" w:hAnsi="Times New Roman"/>
                <w:sz w:val="20"/>
                <w:szCs w:val="20"/>
              </w:rPr>
              <w:t>şi corectate conform prevederilor prezentei metodologii este mai mare decât costurile de operare şi mentenanţă controlabile stabilite anterior de ANRE pentru anul de referință</w:t>
            </w:r>
            <w:r w:rsidRPr="004900B2">
              <w:rPr>
                <w:rFonts w:ascii="Times New Roman" w:hAnsi="Times New Roman"/>
                <w:i/>
                <w:sz w:val="20"/>
                <w:szCs w:val="20"/>
              </w:rPr>
              <w:t>.</w:t>
            </w:r>
            <w:r w:rsidRPr="004900B2">
              <w:rPr>
                <w:rFonts w:ascii="Times New Roman" w:hAnsi="Times New Roman"/>
                <w:sz w:val="20"/>
                <w:szCs w:val="20"/>
              </w:rPr>
              <w:t xml:space="preserve"> În acest caz, costurile de operare şi mentenanţă controlabile prognozate pentru fiecare an al perioadei de reglementare </w:t>
            </w:r>
            <w:r w:rsidRPr="004900B2">
              <w:rPr>
                <w:rFonts w:ascii="Times New Roman" w:hAnsi="Times New Roman"/>
                <w:i/>
                <w:sz w:val="20"/>
                <w:szCs w:val="20"/>
              </w:rPr>
              <w:t>p</w:t>
            </w:r>
            <w:r w:rsidRPr="004900B2">
              <w:rPr>
                <w:rFonts w:ascii="Times New Roman" w:hAnsi="Times New Roman"/>
                <w:sz w:val="20"/>
                <w:szCs w:val="20"/>
              </w:rPr>
              <w:t xml:space="preserve"> nu depǎşesc costurile de operare şi mentenanţă controlabile stabilite anterior de ANRE pentru anul de referință.</w:t>
            </w:r>
          </w:p>
        </w:tc>
        <w:tc>
          <w:tcPr>
            <w:tcW w:w="3420" w:type="dxa"/>
          </w:tcPr>
          <w:p w:rsidR="00A93AE9" w:rsidRPr="004900B2" w:rsidRDefault="00A93AE9" w:rsidP="00A93AE9">
            <w:pPr>
              <w:spacing w:after="0" w:line="240" w:lineRule="auto"/>
              <w:jc w:val="both"/>
              <w:rPr>
                <w:rFonts w:ascii="Times New Roman" w:hAnsi="Times New Roman"/>
                <w:sz w:val="20"/>
                <w:szCs w:val="20"/>
              </w:rPr>
            </w:pPr>
            <w:r w:rsidRPr="004900B2">
              <w:rPr>
                <w:rFonts w:ascii="Times New Roman" w:hAnsi="Times New Roman"/>
                <w:sz w:val="20"/>
                <w:szCs w:val="20"/>
              </w:rPr>
              <w:t xml:space="preserve">(4) Prevederile alin. (3) nu se aplică în cazul în care media anuală a costurilor de operare şi mentenanţă realizate în perioada de reglementare </w:t>
            </w:r>
            <w:r w:rsidRPr="004900B2">
              <w:rPr>
                <w:rFonts w:ascii="Times New Roman" w:hAnsi="Times New Roman"/>
                <w:i/>
                <w:sz w:val="20"/>
                <w:szCs w:val="20"/>
              </w:rPr>
              <w:t xml:space="preserve">p-1 </w:t>
            </w:r>
            <w:r w:rsidRPr="004900B2">
              <w:rPr>
                <w:rFonts w:ascii="Times New Roman" w:hAnsi="Times New Roman"/>
                <w:sz w:val="20"/>
                <w:szCs w:val="20"/>
              </w:rPr>
              <w:t>și în perioada de tranziție</w:t>
            </w:r>
            <w:r w:rsidRPr="004900B2">
              <w:rPr>
                <w:rFonts w:ascii="Times New Roman" w:hAnsi="Times New Roman"/>
                <w:i/>
                <w:sz w:val="20"/>
                <w:szCs w:val="20"/>
              </w:rPr>
              <w:t xml:space="preserve"> </w:t>
            </w:r>
            <w:r w:rsidRPr="004900B2">
              <w:rPr>
                <w:rFonts w:ascii="Times New Roman" w:hAnsi="Times New Roman"/>
                <w:sz w:val="20"/>
                <w:szCs w:val="20"/>
              </w:rPr>
              <w:t>şi corectate conform prevederilor prezentei metodologii este mai mare decât costurile de operare şi mentenanţă controlabile stabilite anterior de ANRE pentru anul de referință</w:t>
            </w:r>
            <w:r w:rsidRPr="004900B2">
              <w:rPr>
                <w:rFonts w:ascii="Times New Roman" w:hAnsi="Times New Roman"/>
                <w:i/>
                <w:sz w:val="20"/>
                <w:szCs w:val="20"/>
              </w:rPr>
              <w:t>.</w:t>
            </w:r>
            <w:r w:rsidRPr="004900B2">
              <w:rPr>
                <w:rFonts w:ascii="Times New Roman" w:hAnsi="Times New Roman"/>
                <w:sz w:val="20"/>
                <w:szCs w:val="20"/>
              </w:rPr>
              <w:t xml:space="preserve"> În acest caz, costurile de operare şi mentenanţă controlabile aferente activității de transport, prognozate pentru primul an al perioadei de reglementare p nu depǎşesc costurile de operare şi mentenanţă controlabile stabilite anterior de ANRE pentru anul de referință.</w:t>
            </w:r>
          </w:p>
        </w:tc>
        <w:tc>
          <w:tcPr>
            <w:tcW w:w="3420" w:type="dxa"/>
            <w:shd w:val="clear" w:color="auto" w:fill="auto"/>
          </w:tcPr>
          <w:p w:rsidR="00A93AE9" w:rsidRPr="00A93AE9" w:rsidRDefault="00A93AE9" w:rsidP="00A93AE9">
            <w:pPr>
              <w:pStyle w:val="BodyTextIndent3"/>
              <w:spacing w:after="0" w:line="240" w:lineRule="auto"/>
              <w:ind w:left="0"/>
              <w:rPr>
                <w:rFonts w:ascii="Times New Roman" w:hAnsi="Times New Roman"/>
                <w:sz w:val="20"/>
                <w:szCs w:val="20"/>
              </w:rPr>
            </w:pPr>
            <w:r w:rsidRPr="00A93AE9">
              <w:rPr>
                <w:rFonts w:ascii="Times New Roman" w:hAnsi="Times New Roman"/>
                <w:sz w:val="20"/>
                <w:szCs w:val="20"/>
              </w:rPr>
              <w:t>Idem art. 34 alin. (3)</w:t>
            </w:r>
          </w:p>
        </w:tc>
        <w:tc>
          <w:tcPr>
            <w:tcW w:w="2340" w:type="dxa"/>
            <w:shd w:val="clear" w:color="auto" w:fill="auto"/>
          </w:tcPr>
          <w:p w:rsidR="00A93AE9" w:rsidRPr="00A93AE9" w:rsidRDefault="00A93AE9" w:rsidP="00A93AE9">
            <w:pPr>
              <w:pStyle w:val="BodyTextIndent3"/>
              <w:spacing w:after="0" w:line="240" w:lineRule="auto"/>
              <w:ind w:left="0"/>
              <w:rPr>
                <w:rFonts w:ascii="Times New Roman" w:hAnsi="Times New Roman"/>
                <w:sz w:val="20"/>
                <w:szCs w:val="20"/>
              </w:rPr>
            </w:pPr>
            <w:r w:rsidRPr="00A93AE9">
              <w:rPr>
                <w:rFonts w:ascii="Times New Roman" w:hAnsi="Times New Roman"/>
                <w:sz w:val="20"/>
                <w:szCs w:val="20"/>
              </w:rPr>
              <w:t>Idem art. 34 alin. (3)</w:t>
            </w:r>
          </w:p>
        </w:tc>
        <w:tc>
          <w:tcPr>
            <w:tcW w:w="2261" w:type="dxa"/>
          </w:tcPr>
          <w:p w:rsidR="00A93AE9" w:rsidRPr="00A93AE9" w:rsidRDefault="00A93AE9" w:rsidP="00A93AE9">
            <w:pPr>
              <w:pStyle w:val="BodyTextIndent3"/>
              <w:spacing w:after="0" w:line="240" w:lineRule="auto"/>
              <w:ind w:left="0"/>
              <w:rPr>
                <w:rFonts w:ascii="Times New Roman" w:hAnsi="Times New Roman"/>
                <w:sz w:val="20"/>
                <w:szCs w:val="20"/>
              </w:rPr>
            </w:pPr>
            <w:r w:rsidRPr="00A93AE9">
              <w:rPr>
                <w:rFonts w:ascii="Times New Roman" w:hAnsi="Times New Roman"/>
                <w:sz w:val="20"/>
                <w:szCs w:val="20"/>
              </w:rPr>
              <w:t>Idem art. 34 alin. (3)</w:t>
            </w:r>
          </w:p>
        </w:tc>
      </w:tr>
      <w:tr w:rsidR="006E296C" w:rsidRPr="004900B2" w:rsidTr="00AF1123">
        <w:trPr>
          <w:trHeight w:val="562"/>
        </w:trPr>
        <w:tc>
          <w:tcPr>
            <w:tcW w:w="473" w:type="dxa"/>
            <w:shd w:val="clear" w:color="auto" w:fill="auto"/>
          </w:tcPr>
          <w:p w:rsidR="006E296C" w:rsidRDefault="006E296C" w:rsidP="006E296C">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p w:rsidR="006E296C" w:rsidRPr="00AF1123" w:rsidRDefault="006E296C" w:rsidP="006E296C">
            <w:pPr>
              <w:jc w:val="both"/>
              <w:rPr>
                <w:rFonts w:ascii="Times New Roman" w:eastAsia="Batang" w:hAnsi="Times New Roman"/>
                <w:b/>
                <w:sz w:val="20"/>
                <w:szCs w:val="20"/>
                <w:lang w:eastAsia="ko-KR"/>
              </w:rPr>
            </w:pPr>
          </w:p>
        </w:tc>
        <w:tc>
          <w:tcPr>
            <w:tcW w:w="862" w:type="dxa"/>
          </w:tcPr>
          <w:p w:rsidR="006E296C" w:rsidRPr="00AF1123" w:rsidRDefault="006E296C" w:rsidP="006E296C">
            <w:pPr>
              <w:spacing w:after="0" w:line="240" w:lineRule="auto"/>
              <w:jc w:val="both"/>
              <w:rPr>
                <w:rFonts w:ascii="Times New Roman" w:eastAsia="Batang" w:hAnsi="Times New Roman"/>
                <w:b/>
                <w:sz w:val="20"/>
                <w:szCs w:val="20"/>
                <w:lang w:eastAsia="ko-KR"/>
              </w:rPr>
            </w:pPr>
            <w:r w:rsidRPr="00AF1123">
              <w:rPr>
                <w:rFonts w:ascii="Times New Roman" w:eastAsia="Batang" w:hAnsi="Times New Roman"/>
                <w:b/>
                <w:sz w:val="20"/>
                <w:szCs w:val="20"/>
                <w:lang w:eastAsia="ko-KR"/>
              </w:rPr>
              <w:t>Art. 37</w:t>
            </w:r>
          </w:p>
        </w:tc>
        <w:tc>
          <w:tcPr>
            <w:tcW w:w="3060" w:type="dxa"/>
            <w:shd w:val="clear" w:color="auto" w:fill="auto"/>
          </w:tcPr>
          <w:p w:rsidR="006E296C" w:rsidRPr="00E004F6" w:rsidRDefault="006E296C" w:rsidP="006E296C">
            <w:pPr>
              <w:spacing w:after="0" w:line="240" w:lineRule="auto"/>
              <w:jc w:val="both"/>
              <w:rPr>
                <w:rFonts w:ascii="Times New Roman" w:hAnsi="Times New Roman"/>
                <w:sz w:val="20"/>
                <w:szCs w:val="20"/>
              </w:rPr>
            </w:pPr>
            <w:r w:rsidRPr="00E004F6">
              <w:rPr>
                <w:rFonts w:ascii="Times New Roman" w:hAnsi="Times New Roman"/>
                <w:sz w:val="20"/>
                <w:szCs w:val="20"/>
              </w:rPr>
              <w:t xml:space="preserve">(2) În categoria cheltuielilor speciale se iau în considerare și cheltuielile aferente implementării regulamentelor europene, numai dacă acestea sunt rezonabile şi adecvate în conformitate cu prevederile reglementărilor europene. </w:t>
            </w:r>
          </w:p>
        </w:tc>
        <w:tc>
          <w:tcPr>
            <w:tcW w:w="3420" w:type="dxa"/>
          </w:tcPr>
          <w:p w:rsidR="006E296C" w:rsidRPr="00E004F6" w:rsidRDefault="006E296C" w:rsidP="006E296C">
            <w:pPr>
              <w:spacing w:after="0" w:line="240" w:lineRule="auto"/>
              <w:jc w:val="both"/>
              <w:rPr>
                <w:rFonts w:ascii="Times New Roman" w:hAnsi="Times New Roman"/>
                <w:sz w:val="20"/>
                <w:szCs w:val="20"/>
              </w:rPr>
            </w:pPr>
            <w:r w:rsidRPr="00E004F6">
              <w:rPr>
                <w:rFonts w:ascii="Times New Roman" w:hAnsi="Times New Roman"/>
                <w:sz w:val="20"/>
                <w:szCs w:val="20"/>
              </w:rPr>
              <w:t>(2) În categoria cheltuielilor speciale se includ și cheltuielile aferente implementării regulamentelor europene, determinate în conformitate cu prevederile reglementărilor europene</w:t>
            </w:r>
          </w:p>
        </w:tc>
        <w:tc>
          <w:tcPr>
            <w:tcW w:w="3420" w:type="dxa"/>
            <w:shd w:val="clear" w:color="auto" w:fill="auto"/>
          </w:tcPr>
          <w:p w:rsidR="006E296C" w:rsidRPr="006E296C" w:rsidRDefault="006E296C" w:rsidP="006E296C">
            <w:pPr>
              <w:pStyle w:val="BodyTextIndent3"/>
              <w:spacing w:after="0" w:line="240" w:lineRule="auto"/>
              <w:ind w:left="0"/>
              <w:jc w:val="both"/>
              <w:rPr>
                <w:rFonts w:ascii="Times New Roman" w:hAnsi="Times New Roman"/>
                <w:sz w:val="20"/>
                <w:szCs w:val="20"/>
              </w:rPr>
            </w:pPr>
          </w:p>
        </w:tc>
        <w:tc>
          <w:tcPr>
            <w:tcW w:w="2340" w:type="dxa"/>
            <w:shd w:val="clear" w:color="auto" w:fill="auto"/>
          </w:tcPr>
          <w:p w:rsidR="006E296C" w:rsidRDefault="006E296C" w:rsidP="00695099">
            <w:pPr>
              <w:pStyle w:val="BodyTextIndent3"/>
              <w:spacing w:after="0" w:line="240" w:lineRule="auto"/>
              <w:ind w:left="-89"/>
              <w:jc w:val="both"/>
              <w:rPr>
                <w:rFonts w:ascii="Times New Roman" w:hAnsi="Times New Roman"/>
                <w:sz w:val="20"/>
                <w:szCs w:val="20"/>
              </w:rPr>
            </w:pPr>
            <w:r w:rsidRPr="006E296C">
              <w:rPr>
                <w:rFonts w:ascii="Times New Roman" w:hAnsi="Times New Roman"/>
                <w:sz w:val="20"/>
                <w:szCs w:val="20"/>
              </w:rPr>
              <w:t xml:space="preserve">Tratarea unitară în metodologia tarifară a tuturor costurilor aferente activităţilor specifice circumscrise procesului general de implementare a regulamentelor europene, desfăşurate pe toate </w:t>
            </w:r>
            <w:r w:rsidRPr="006E296C">
              <w:rPr>
                <w:rFonts w:ascii="Times New Roman" w:hAnsi="Times New Roman"/>
                <w:sz w:val="20"/>
                <w:szCs w:val="20"/>
              </w:rPr>
              <w:lastRenderedPageBreak/>
              <w:t>palierele menţionate - european, regional, national - prin recunoaşterea costurilor aferente acestor activităţi în categoria cheltuielilor speciale. Aceste costuri se referă la: cotizaţia aferentă finanţării activităţii ENTSO-E, sumele aferente finanţării altor structuri europene prin intermediul cărora sunt implementate regulamentele europene (centrul unic european pentru alocarea capacităţilor de transport inter-zonal JAO, entităţile care vor opera platformele europene de tranzacţionare a energiei de echilibrare), sumele aferente finanţării funcţionării structurilor regionale în care OTS din Romania este parte (serviciile achiziţionate de la centrele regionale de coordonare a securităţii operaţionale).</w:t>
            </w:r>
          </w:p>
          <w:p w:rsidR="006E296C" w:rsidRPr="006E296C" w:rsidRDefault="006E296C" w:rsidP="006E296C">
            <w:pPr>
              <w:spacing w:before="120" w:after="120"/>
              <w:ind w:right="58"/>
              <w:jc w:val="both"/>
              <w:rPr>
                <w:rFonts w:ascii="Times New Roman" w:hAnsi="Times New Roman"/>
                <w:sz w:val="20"/>
                <w:szCs w:val="20"/>
              </w:rPr>
            </w:pPr>
            <w:r w:rsidRPr="006E296C">
              <w:rPr>
                <w:rFonts w:ascii="Times New Roman" w:hAnsi="Times New Roman"/>
                <w:sz w:val="20"/>
                <w:szCs w:val="20"/>
              </w:rPr>
              <w:t xml:space="preserve">O parte din aceste costuri au fost raportate în a treia perioadă de reglementare pe activitatea de transport în cadrul OPEX </w:t>
            </w:r>
            <w:r w:rsidRPr="006E296C">
              <w:rPr>
                <w:rFonts w:ascii="Times New Roman" w:hAnsi="Times New Roman"/>
                <w:sz w:val="20"/>
                <w:szCs w:val="20"/>
              </w:rPr>
              <w:lastRenderedPageBreak/>
              <w:t xml:space="preserve">controlabil, conform nomenclatorului general aprobat de ANRE prin care s-a stabilit corespondenţa între conturile contabile OTS şi categoriile de costuri specifice metodologiei tarifare (exemplu: cotizaţiile la organizaţii internaţionale au fost alocate categoriei OPEX controlabil). Odată cu unificarea celor două tarife la stabilirea setărilor multi-anuale ale costurilor (plafonul OPEX controlabil, prognoza OPEX necontrolabil) ar trebui să se ţină cont de necesitatea încadrării corecte a acestor costuri pe OPEX necontrolabil (cheltuieli speciale) şi să se opereze în mod corespunzător ajustările necesare în setările celei de a patra perioade de reglementare. </w:t>
            </w:r>
          </w:p>
          <w:p w:rsidR="006E296C" w:rsidRPr="006E296C" w:rsidRDefault="006E296C" w:rsidP="006E296C">
            <w:pPr>
              <w:pStyle w:val="BodyTextIndent3"/>
              <w:spacing w:after="0" w:line="240" w:lineRule="auto"/>
              <w:ind w:left="0"/>
              <w:jc w:val="both"/>
              <w:rPr>
                <w:rFonts w:ascii="Times New Roman" w:hAnsi="Times New Roman"/>
                <w:sz w:val="20"/>
                <w:szCs w:val="20"/>
              </w:rPr>
            </w:pPr>
          </w:p>
        </w:tc>
        <w:tc>
          <w:tcPr>
            <w:tcW w:w="2261" w:type="dxa"/>
          </w:tcPr>
          <w:p w:rsidR="00BE5FFE" w:rsidRPr="004900B2" w:rsidRDefault="00CD1A8B" w:rsidP="00CD1A8B">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lastRenderedPageBreak/>
              <w:t>De acord, cu mențiunea că se va ține cont de această prevedere în prognoza de costuri controlabile luate în calcul la reliniarizare.</w:t>
            </w:r>
          </w:p>
        </w:tc>
      </w:tr>
      <w:tr w:rsidR="006E296C" w:rsidRPr="004900B2" w:rsidTr="00AF1123">
        <w:trPr>
          <w:trHeight w:val="562"/>
        </w:trPr>
        <w:tc>
          <w:tcPr>
            <w:tcW w:w="473" w:type="dxa"/>
            <w:shd w:val="clear" w:color="auto" w:fill="auto"/>
          </w:tcPr>
          <w:p w:rsidR="006E296C" w:rsidRDefault="006E296C" w:rsidP="006E296C">
            <w:pPr>
              <w:pStyle w:val="ListParagraph"/>
              <w:numPr>
                <w:ilvl w:val="0"/>
                <w:numId w:val="10"/>
              </w:numPr>
              <w:tabs>
                <w:tab w:val="left" w:pos="360"/>
              </w:tabs>
              <w:spacing w:after="0" w:line="240" w:lineRule="auto"/>
              <w:jc w:val="both"/>
              <w:rPr>
                <w:rFonts w:ascii="Times New Roman" w:eastAsia="Batang" w:hAnsi="Times New Roman"/>
                <w:b/>
                <w:sz w:val="20"/>
                <w:szCs w:val="20"/>
                <w:lang w:eastAsia="ko-KR"/>
              </w:rPr>
            </w:pPr>
          </w:p>
          <w:p w:rsidR="006E296C" w:rsidRPr="00AF1123" w:rsidRDefault="006E296C" w:rsidP="006E296C">
            <w:pPr>
              <w:pStyle w:val="ListParagraph"/>
              <w:numPr>
                <w:ilvl w:val="0"/>
                <w:numId w:val="3"/>
              </w:numPr>
              <w:tabs>
                <w:tab w:val="left" w:pos="360"/>
              </w:tabs>
              <w:spacing w:after="0" w:line="240" w:lineRule="auto"/>
              <w:jc w:val="both"/>
              <w:rPr>
                <w:lang w:eastAsia="ko-KR"/>
              </w:rPr>
            </w:pPr>
            <w:r>
              <w:rPr>
                <w:lang w:eastAsia="ko-KR"/>
              </w:rPr>
              <w:t>21.</w:t>
            </w:r>
          </w:p>
        </w:tc>
        <w:tc>
          <w:tcPr>
            <w:tcW w:w="862" w:type="dxa"/>
          </w:tcPr>
          <w:p w:rsidR="006E296C" w:rsidRDefault="006E296C" w:rsidP="006E296C">
            <w:pPr>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Art. 52</w:t>
            </w:r>
          </w:p>
        </w:tc>
        <w:tc>
          <w:tcPr>
            <w:tcW w:w="3060" w:type="dxa"/>
            <w:shd w:val="clear" w:color="auto" w:fill="auto"/>
          </w:tcPr>
          <w:p w:rsidR="006E296C" w:rsidRPr="009446CB" w:rsidRDefault="006E296C" w:rsidP="006E296C">
            <w:pPr>
              <w:spacing w:after="0" w:line="240" w:lineRule="auto"/>
              <w:jc w:val="both"/>
              <w:rPr>
                <w:sz w:val="20"/>
                <w:szCs w:val="20"/>
              </w:rPr>
            </w:pPr>
            <w:r>
              <w:rPr>
                <w:sz w:val="20"/>
                <w:szCs w:val="20"/>
              </w:rPr>
              <w:t>(3)</w:t>
            </w:r>
            <w:r w:rsidRPr="009446CB">
              <w:rPr>
                <w:rFonts w:ascii="Times New Roman" w:hAnsi="Times New Roman"/>
                <w:sz w:val="20"/>
                <w:szCs w:val="20"/>
              </w:rPr>
              <w:t>Valoarea acceptată a activelor patrimoniului privat al OTS şi a bunurilor aparţinând domeniului public al statului finanţate integral din surse proprii OTS, la sfârşitul unei perioade de reglementare, inclusiv cea determinată de reevaluarea unor grupe de active, nu va depăşi valoarea cumulată a ratei inflaţiei pe perioada respectivă de reglementare, aplicată la valoarea BAR</w:t>
            </w:r>
            <w:r w:rsidRPr="009446CB">
              <w:rPr>
                <w:rFonts w:ascii="Times New Roman" w:hAnsi="Times New Roman"/>
                <w:i/>
                <w:sz w:val="20"/>
                <w:szCs w:val="20"/>
                <w:vertAlign w:val="subscript"/>
              </w:rPr>
              <w:t>p-1</w:t>
            </w:r>
            <w:r w:rsidRPr="009446CB">
              <w:rPr>
                <w:rFonts w:ascii="Times New Roman" w:hAnsi="Times New Roman"/>
                <w:sz w:val="20"/>
                <w:szCs w:val="20"/>
              </w:rPr>
              <w:t xml:space="preserve"> la data de 1 ianuarie a primului an al perioadei de reglementare </w:t>
            </w:r>
            <w:r w:rsidRPr="009446CB">
              <w:rPr>
                <w:rFonts w:ascii="Times New Roman" w:hAnsi="Times New Roman"/>
                <w:i/>
                <w:sz w:val="20"/>
                <w:szCs w:val="20"/>
              </w:rPr>
              <w:t>p-1</w:t>
            </w:r>
            <w:r w:rsidRPr="009446CB">
              <w:rPr>
                <w:rFonts w:ascii="Times New Roman" w:hAnsi="Times New Roman"/>
                <w:sz w:val="20"/>
                <w:szCs w:val="20"/>
              </w:rPr>
              <w:t>, conform prevederilor art. 54.</w:t>
            </w:r>
          </w:p>
        </w:tc>
        <w:tc>
          <w:tcPr>
            <w:tcW w:w="3420" w:type="dxa"/>
          </w:tcPr>
          <w:p w:rsidR="006E296C" w:rsidRPr="009446CB" w:rsidRDefault="006E296C" w:rsidP="006E296C">
            <w:pPr>
              <w:spacing w:after="0" w:line="240" w:lineRule="auto"/>
              <w:jc w:val="both"/>
              <w:rPr>
                <w:rFonts w:ascii="Times New Roman" w:hAnsi="Times New Roman"/>
                <w:sz w:val="20"/>
                <w:szCs w:val="20"/>
              </w:rPr>
            </w:pPr>
            <w:r w:rsidRPr="009446CB">
              <w:rPr>
                <w:rFonts w:ascii="Times New Roman" w:hAnsi="Times New Roman"/>
                <w:sz w:val="20"/>
                <w:szCs w:val="20"/>
              </w:rPr>
              <w:t>(3)Pentru calculul BAR la data de 31 decembrie a anului de referință al unei perioade de reglementare, reevaluarea prevăzută la alin. (2) este luată în considerare de către ANRE în limita valorii minime dintre BAR actualizat cu rata cumulată a inflaţiei, calculat conform prevederilor art. 54 și valoarea netă contabilă a mijloacelor fixe incluse în BAR, reevaluate conform legislației specifice</w:t>
            </w:r>
          </w:p>
        </w:tc>
        <w:tc>
          <w:tcPr>
            <w:tcW w:w="3420" w:type="dxa"/>
            <w:shd w:val="clear" w:color="auto" w:fill="auto"/>
          </w:tcPr>
          <w:p w:rsidR="006E296C" w:rsidRPr="007025F6" w:rsidRDefault="006E296C" w:rsidP="006E296C">
            <w:pPr>
              <w:pStyle w:val="BodyTextIndent3"/>
              <w:spacing w:after="0" w:line="240" w:lineRule="auto"/>
              <w:ind w:left="0"/>
              <w:rPr>
                <w:rFonts w:ascii="Times New Roman" w:hAnsi="Times New Roman"/>
                <w:sz w:val="20"/>
                <w:szCs w:val="20"/>
              </w:rPr>
            </w:pPr>
            <w:r w:rsidRPr="007025F6">
              <w:rPr>
                <w:rFonts w:ascii="Times New Roman" w:hAnsi="Times New Roman"/>
                <w:sz w:val="20"/>
                <w:szCs w:val="20"/>
              </w:rPr>
              <w:t xml:space="preserve">Propune </w:t>
            </w:r>
            <w:r w:rsidR="00D0230E">
              <w:rPr>
                <w:rFonts w:ascii="Times New Roman" w:hAnsi="Times New Roman"/>
                <w:sz w:val="20"/>
                <w:szCs w:val="20"/>
              </w:rPr>
              <w:t>ca limitarea propusă să</w:t>
            </w:r>
            <w:r w:rsidRPr="007025F6">
              <w:rPr>
                <w:rFonts w:ascii="Times New Roman" w:hAnsi="Times New Roman"/>
                <w:sz w:val="20"/>
                <w:szCs w:val="20"/>
              </w:rPr>
              <w:t xml:space="preserve"> nu fie introdusă în metodologie.</w:t>
            </w:r>
          </w:p>
        </w:tc>
        <w:tc>
          <w:tcPr>
            <w:tcW w:w="2340" w:type="dxa"/>
            <w:shd w:val="clear" w:color="auto" w:fill="auto"/>
          </w:tcPr>
          <w:p w:rsidR="006E296C" w:rsidRPr="004900B2" w:rsidRDefault="006E296C" w:rsidP="006E296C">
            <w:pPr>
              <w:pStyle w:val="BodyTextIndent3"/>
              <w:spacing w:after="0" w:line="240" w:lineRule="auto"/>
              <w:ind w:left="0"/>
              <w:jc w:val="both"/>
              <w:rPr>
                <w:rFonts w:ascii="Times New Roman" w:hAnsi="Times New Roman"/>
                <w:sz w:val="20"/>
                <w:szCs w:val="20"/>
              </w:rPr>
            </w:pPr>
            <w:r w:rsidRPr="00876A67">
              <w:rPr>
                <w:rFonts w:ascii="Times New Roman" w:hAnsi="Times New Roman"/>
                <w:sz w:val="20"/>
                <w:szCs w:val="20"/>
              </w:rPr>
              <w:t xml:space="preserve">Motivul pentru care nu găsim acceptabila propunerea este dat de diferenţa de ritm între procesul de amortizare reglementată a activelor în BAR (ritm mai lent) comparativ cu procesul de amortizare în contabilitatea OTS (ritm mai rapid). Diferenţa de ritm are la bază diferenţa existentă între duratele normale de funcţionare a activelor, respectiv durate reglementate în medie mai mari comparativ cu duratele contabile. Notăm că ritmul amortizării reglementate a activului determină recuperarea reala de către OTS a capitalului investit în realizarea activului. Astfel, la momentul realizării unui activ acesta intră cu aceeaşi valoare în BAR şi în contabilitate. Ulterior însă evoluţia valorii nete a respectivului activ este diferită, valoarea netă a activului scăzând mai lent în BAR prin utilizarea unei durate de amortizare </w:t>
            </w:r>
            <w:r w:rsidRPr="00876A67">
              <w:rPr>
                <w:rFonts w:ascii="Times New Roman" w:hAnsi="Times New Roman"/>
                <w:sz w:val="20"/>
                <w:szCs w:val="20"/>
              </w:rPr>
              <w:lastRenderedPageBreak/>
              <w:t>mai mari comparativ cu contabilitatea OTS în care scăderea este mai rapidă sub efectul utilizării unei durate de amortizare mai mici. Restabilirea periodică a valorii BAR la valoarea contabilă a activelor conduce astfel la nerecuperarea integrală de către OTS a capitalului investit în active, afectând capacitatea OTS de a-şi reconstitui capitalul utilizat.</w:t>
            </w:r>
          </w:p>
        </w:tc>
        <w:tc>
          <w:tcPr>
            <w:tcW w:w="2261" w:type="dxa"/>
          </w:tcPr>
          <w:p w:rsidR="00D53788" w:rsidRDefault="000F267D" w:rsidP="00D53788">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lastRenderedPageBreak/>
              <w:t>Această prevedere nu afectează valoarea activelor calculată utilizând durata reglementată, ci valoarea reevaluărilor solicitate a fi recunoscute suplimentar. Este normal ca recunoașterea suplimentară a reevaluărilor contabile să se efectueze în limita VNC al activelor din contabilitate rezultat în urma reeva</w:t>
            </w:r>
            <w:r w:rsidR="00270B80">
              <w:rPr>
                <w:rFonts w:ascii="Times New Roman" w:eastAsia="Batang" w:hAnsi="Times New Roman"/>
                <w:sz w:val="20"/>
                <w:szCs w:val="20"/>
                <w:lang w:eastAsia="ko-KR"/>
              </w:rPr>
              <w:t>l</w:t>
            </w:r>
            <w:r>
              <w:rPr>
                <w:rFonts w:ascii="Times New Roman" w:eastAsia="Batang" w:hAnsi="Times New Roman"/>
                <w:sz w:val="20"/>
                <w:szCs w:val="20"/>
                <w:lang w:eastAsia="ko-KR"/>
              </w:rPr>
              <w:t xml:space="preserve">uărilor. Cu alte cuvinte nu se poate recunoaște numai reevaluarea fără a avea în vedere total VNC. </w:t>
            </w:r>
          </w:p>
          <w:p w:rsidR="006E296C" w:rsidRPr="004900B2" w:rsidRDefault="000F267D" w:rsidP="00D53788">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De asemenea reevaluările luate în considerare nu pot depăși valoarea inflației aplicată BAR.  </w:t>
            </w:r>
          </w:p>
        </w:tc>
      </w:tr>
      <w:tr w:rsidR="006E296C" w:rsidRPr="004900B2" w:rsidTr="00AF1123">
        <w:trPr>
          <w:trHeight w:val="562"/>
        </w:trPr>
        <w:tc>
          <w:tcPr>
            <w:tcW w:w="473" w:type="dxa"/>
            <w:shd w:val="clear" w:color="auto" w:fill="auto"/>
          </w:tcPr>
          <w:p w:rsidR="006E296C" w:rsidRPr="004900B2" w:rsidRDefault="006E296C" w:rsidP="006E296C">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62" w:type="dxa"/>
          </w:tcPr>
          <w:p w:rsidR="006E296C" w:rsidRDefault="004A09D5" w:rsidP="006E296C">
            <w:pPr>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Art. 80</w:t>
            </w:r>
          </w:p>
        </w:tc>
        <w:tc>
          <w:tcPr>
            <w:tcW w:w="3060" w:type="dxa"/>
            <w:shd w:val="clear" w:color="auto" w:fill="auto"/>
          </w:tcPr>
          <w:p w:rsidR="006E296C" w:rsidRPr="00BB10D5" w:rsidRDefault="006E296C" w:rsidP="006E296C">
            <w:pPr>
              <w:pStyle w:val="ListParagraph"/>
              <w:spacing w:after="0" w:line="240" w:lineRule="auto"/>
              <w:ind w:left="-108"/>
              <w:jc w:val="both"/>
              <w:rPr>
                <w:sz w:val="20"/>
                <w:szCs w:val="20"/>
              </w:rPr>
            </w:pPr>
            <w:r>
              <w:rPr>
                <w:rFonts w:ascii="Times New Roman" w:hAnsi="Times New Roman"/>
                <w:sz w:val="20"/>
                <w:szCs w:val="20"/>
              </w:rPr>
              <w:t xml:space="preserve">(4) </w:t>
            </w:r>
            <w:r w:rsidRPr="00BB10D5">
              <w:rPr>
                <w:rFonts w:ascii="Times New Roman" w:hAnsi="Times New Roman"/>
                <w:sz w:val="20"/>
                <w:szCs w:val="20"/>
              </w:rPr>
              <w:t xml:space="preserve">Preţul mediu de achiziţie a energiei electrice pentru asigurarea CPT reglementat recunoscut de ANRE pentru anul </w:t>
            </w:r>
            <w:r w:rsidRPr="001E6027">
              <w:rPr>
                <w:rFonts w:ascii="Times New Roman" w:hAnsi="Times New Roman"/>
                <w:sz w:val="20"/>
                <w:szCs w:val="20"/>
              </w:rPr>
              <w:t>t-2</w:t>
            </w:r>
            <w:r w:rsidRPr="00BB10D5">
              <w:rPr>
                <w:rFonts w:ascii="Times New Roman" w:hAnsi="Times New Roman"/>
                <w:sz w:val="20"/>
                <w:szCs w:val="20"/>
              </w:rPr>
              <w:t xml:space="preserve"> este egal cu minimul dintre prețul de achiziție realizat de OTS și un preț de referință determinat ca medie a prețurilor de achiziție realizate de operatorii de rețea (operatorii de distribuție și OTS) și recalculate prin limitarea dezechilibrelor pozitive și negative la 5% din cantitatea de energie electrică pentru acoperirea CPT, medie stabilită după eliminarea celor două valori extreme.</w:t>
            </w:r>
          </w:p>
        </w:tc>
        <w:tc>
          <w:tcPr>
            <w:tcW w:w="3420" w:type="dxa"/>
          </w:tcPr>
          <w:p w:rsidR="006E296C" w:rsidRPr="00BB10D5" w:rsidRDefault="006E296C" w:rsidP="006E296C">
            <w:pPr>
              <w:spacing w:after="0" w:line="240" w:lineRule="auto"/>
              <w:jc w:val="both"/>
              <w:rPr>
                <w:rFonts w:ascii="Times New Roman" w:hAnsi="Times New Roman"/>
                <w:sz w:val="20"/>
                <w:szCs w:val="20"/>
              </w:rPr>
            </w:pPr>
            <w:r>
              <w:rPr>
                <w:rFonts w:ascii="Times New Roman" w:hAnsi="Times New Roman"/>
                <w:sz w:val="20"/>
                <w:szCs w:val="20"/>
              </w:rPr>
              <w:t xml:space="preserve">(4) </w:t>
            </w:r>
            <w:r w:rsidRPr="00BB10D5">
              <w:rPr>
                <w:rFonts w:ascii="Times New Roman" w:hAnsi="Times New Roman"/>
                <w:sz w:val="20"/>
                <w:szCs w:val="20"/>
              </w:rPr>
              <w:t xml:space="preserve">Preţul mediu al energiei electrice pentru asigurarea CPT reglementat recunoscut de ANRE pentru anul </w:t>
            </w:r>
            <w:r w:rsidRPr="001E6027">
              <w:rPr>
                <w:rFonts w:ascii="Times New Roman" w:hAnsi="Times New Roman"/>
                <w:sz w:val="20"/>
                <w:szCs w:val="20"/>
              </w:rPr>
              <w:t>t-2</w:t>
            </w:r>
            <w:r w:rsidRPr="00BB10D5">
              <w:rPr>
                <w:rFonts w:ascii="Times New Roman" w:hAnsi="Times New Roman"/>
                <w:sz w:val="20"/>
                <w:szCs w:val="20"/>
              </w:rPr>
              <w:t xml:space="preserve"> este egal cu minimul dintre prețul de achiziție realizat de OTS și un preț de referință determinat ca medie a prețurilor </w:t>
            </w:r>
            <w:r w:rsidRPr="00BB10D5" w:rsidDel="009C7F4C">
              <w:rPr>
                <w:rFonts w:ascii="Times New Roman" w:hAnsi="Times New Roman"/>
                <w:sz w:val="20"/>
                <w:szCs w:val="20"/>
              </w:rPr>
              <w:t xml:space="preserve"> </w:t>
            </w:r>
            <w:r w:rsidRPr="00BB10D5">
              <w:rPr>
                <w:rFonts w:ascii="Times New Roman" w:hAnsi="Times New Roman"/>
                <w:sz w:val="20"/>
                <w:szCs w:val="20"/>
              </w:rPr>
              <w:t>operatorilor de rețea (operatorii de distribuție și OTS), medie stabilită după eliminarea celor două valori extreme</w:t>
            </w:r>
            <w:r>
              <w:rPr>
                <w:rFonts w:ascii="Times New Roman" w:hAnsi="Times New Roman"/>
                <w:sz w:val="20"/>
                <w:szCs w:val="20"/>
              </w:rPr>
              <w:t>.</w:t>
            </w:r>
          </w:p>
        </w:tc>
        <w:tc>
          <w:tcPr>
            <w:tcW w:w="3420" w:type="dxa"/>
            <w:shd w:val="clear" w:color="auto" w:fill="auto"/>
          </w:tcPr>
          <w:p w:rsidR="006E296C" w:rsidRPr="00A23E1B" w:rsidRDefault="006E296C" w:rsidP="006E296C">
            <w:pPr>
              <w:pStyle w:val="BodyTextIndent3"/>
              <w:spacing w:after="0" w:line="240" w:lineRule="auto"/>
              <w:ind w:left="0"/>
              <w:rPr>
                <w:rFonts w:ascii="Times New Roman" w:hAnsi="Times New Roman"/>
                <w:sz w:val="20"/>
                <w:szCs w:val="20"/>
              </w:rPr>
            </w:pPr>
            <w:r w:rsidRPr="00A23E1B">
              <w:rPr>
                <w:rFonts w:ascii="Times New Roman" w:hAnsi="Times New Roman"/>
                <w:sz w:val="20"/>
                <w:szCs w:val="20"/>
              </w:rPr>
              <w:t xml:space="preserve">(4)Preţul mediu al energiei electrice pentru asigurarea CPT reglementat recunoscut de ANRE pentru anul t-2 este egal cu minimul dintre prețul </w:t>
            </w:r>
            <w:r w:rsidRPr="00AA7E3C">
              <w:rPr>
                <w:rFonts w:ascii="Times New Roman" w:hAnsi="Times New Roman"/>
                <w:b/>
                <w:strike/>
                <w:sz w:val="20"/>
                <w:szCs w:val="20"/>
              </w:rPr>
              <w:t>de achiziție</w:t>
            </w:r>
            <w:r w:rsidRPr="00A23E1B">
              <w:rPr>
                <w:rFonts w:ascii="Times New Roman" w:hAnsi="Times New Roman"/>
                <w:sz w:val="20"/>
                <w:szCs w:val="20"/>
              </w:rPr>
              <w:t xml:space="preserve"> realizat de OTS și un preț de referință determinat ca medie a prețurilor  operatorilor de rețea (operatorii de distribuție și OTS), medie stabilită după eliminarea celor două valori extreme.</w:t>
            </w:r>
          </w:p>
        </w:tc>
        <w:tc>
          <w:tcPr>
            <w:tcW w:w="2340" w:type="dxa"/>
            <w:shd w:val="clear" w:color="auto" w:fill="auto"/>
          </w:tcPr>
          <w:p w:rsidR="006E296C" w:rsidRPr="004900B2" w:rsidRDefault="006E296C" w:rsidP="006E296C">
            <w:pPr>
              <w:pStyle w:val="BodyTextIndent3"/>
              <w:spacing w:after="0" w:line="240" w:lineRule="auto"/>
              <w:ind w:left="0"/>
              <w:rPr>
                <w:rFonts w:ascii="Times New Roman" w:hAnsi="Times New Roman"/>
                <w:sz w:val="20"/>
                <w:szCs w:val="20"/>
              </w:rPr>
            </w:pPr>
            <w:r w:rsidRPr="00787E09">
              <w:rPr>
                <w:rFonts w:ascii="Times New Roman" w:hAnsi="Times New Roman"/>
                <w:sz w:val="20"/>
                <w:szCs w:val="20"/>
              </w:rPr>
              <w:t>Preţul mediu al energiei electrice pentru asigurarea CPT reglementat este un rezultat al însumării preţului mediu de achiziţie realizat de un operator şi recalculat prin limitarea dezechilibrelor pozitive şi negative la 5% din cantitatea de energie electricǎ pentru acoperirea CPT şi a celorlate componente prevăzute la alin.41 (articol nou): tarife Opcom, tarif PRE, redistribuiri în piața de echilibrare.</w:t>
            </w:r>
          </w:p>
        </w:tc>
        <w:tc>
          <w:tcPr>
            <w:tcW w:w="2261" w:type="dxa"/>
          </w:tcPr>
          <w:p w:rsidR="006E296C" w:rsidRPr="004900B2" w:rsidRDefault="00E7473C" w:rsidP="00E7473C">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Se acceptă. Este corelat cu prevederea din proiectul de modificare a metodologiei de stabilire a tarifelor pentru serviciul de distribuție a energiei electrice. </w:t>
            </w:r>
          </w:p>
        </w:tc>
      </w:tr>
      <w:tr w:rsidR="006E296C" w:rsidRPr="004900B2" w:rsidTr="00AF1123">
        <w:trPr>
          <w:trHeight w:val="562"/>
        </w:trPr>
        <w:tc>
          <w:tcPr>
            <w:tcW w:w="473" w:type="dxa"/>
            <w:shd w:val="clear" w:color="auto" w:fill="auto"/>
          </w:tcPr>
          <w:p w:rsidR="006E296C" w:rsidRPr="004900B2" w:rsidRDefault="006E296C" w:rsidP="006E296C">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62" w:type="dxa"/>
          </w:tcPr>
          <w:p w:rsidR="006E296C" w:rsidRDefault="008B0348" w:rsidP="006E296C">
            <w:pPr>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Art. 80</w:t>
            </w:r>
            <w:bookmarkStart w:id="0" w:name="_GoBack"/>
            <w:bookmarkEnd w:id="0"/>
          </w:p>
        </w:tc>
        <w:tc>
          <w:tcPr>
            <w:tcW w:w="3060" w:type="dxa"/>
            <w:shd w:val="clear" w:color="auto" w:fill="auto"/>
          </w:tcPr>
          <w:p w:rsidR="006E296C" w:rsidRPr="00BB10D5" w:rsidRDefault="006E296C" w:rsidP="006E296C">
            <w:pPr>
              <w:pStyle w:val="BodyText"/>
              <w:tabs>
                <w:tab w:val="left" w:pos="426"/>
                <w:tab w:val="left" w:pos="1170"/>
              </w:tabs>
              <w:autoSpaceDE/>
              <w:autoSpaceDN/>
              <w:spacing w:line="360" w:lineRule="auto"/>
              <w:jc w:val="both"/>
              <w:rPr>
                <w:sz w:val="20"/>
                <w:szCs w:val="20"/>
              </w:rPr>
            </w:pPr>
          </w:p>
        </w:tc>
        <w:tc>
          <w:tcPr>
            <w:tcW w:w="3420" w:type="dxa"/>
          </w:tcPr>
          <w:p w:rsidR="006E296C" w:rsidRPr="001E6027" w:rsidRDefault="006E296C" w:rsidP="006E296C">
            <w:pPr>
              <w:spacing w:after="0" w:line="240" w:lineRule="auto"/>
              <w:jc w:val="both"/>
              <w:rPr>
                <w:rFonts w:ascii="Times New Roman" w:hAnsi="Times New Roman"/>
                <w:sz w:val="20"/>
                <w:szCs w:val="20"/>
              </w:rPr>
            </w:pPr>
            <w:r w:rsidRPr="001E6027">
              <w:rPr>
                <w:rFonts w:ascii="Times New Roman" w:hAnsi="Times New Roman"/>
                <w:sz w:val="20"/>
                <w:szCs w:val="20"/>
              </w:rPr>
              <w:t>Art. nou</w:t>
            </w:r>
          </w:p>
          <w:p w:rsidR="006E296C" w:rsidRPr="001E6027" w:rsidRDefault="006E296C" w:rsidP="006E296C">
            <w:pPr>
              <w:spacing w:after="0" w:line="240" w:lineRule="auto"/>
              <w:jc w:val="both"/>
              <w:rPr>
                <w:rFonts w:ascii="Times New Roman" w:hAnsi="Times New Roman"/>
                <w:sz w:val="20"/>
                <w:szCs w:val="20"/>
              </w:rPr>
            </w:pPr>
            <w:r w:rsidRPr="001E6027">
              <w:rPr>
                <w:rFonts w:ascii="Times New Roman" w:hAnsi="Times New Roman"/>
                <w:sz w:val="20"/>
                <w:szCs w:val="20"/>
              </w:rPr>
              <w:t>(4^1) Prețurile operatorilor de rețea luate în considerare la stabilirea</w:t>
            </w:r>
            <w:r w:rsidRPr="001E6027">
              <w:rPr>
                <w:rFonts w:ascii="Times New Roman" w:hAnsi="Times New Roman"/>
                <w:b/>
                <w:bCs/>
                <w:sz w:val="20"/>
                <w:szCs w:val="20"/>
              </w:rPr>
              <w:t xml:space="preserve"> </w:t>
            </w:r>
            <w:r w:rsidRPr="001E6027">
              <w:rPr>
                <w:rFonts w:ascii="Times New Roman" w:hAnsi="Times New Roman"/>
                <w:bCs/>
                <w:sz w:val="20"/>
                <w:szCs w:val="20"/>
              </w:rPr>
              <w:t xml:space="preserve">mediei </w:t>
            </w:r>
            <w:r w:rsidRPr="001E6027">
              <w:rPr>
                <w:rFonts w:ascii="Times New Roman" w:hAnsi="Times New Roman"/>
                <w:bCs/>
                <w:sz w:val="20"/>
                <w:szCs w:val="20"/>
              </w:rPr>
              <w:lastRenderedPageBreak/>
              <w:t>prevǎzute la alin. (4) se calculeazǎ prin însumarea la preţul de achiziţie realizat de un operator şi recalculat prin limitarea dezechilibrelor pozitive şi negative la 5% din cantitatea de energie electricǎ pentru acoperirea CPT, a unei componente determinate prin împărțirea cheltuielilor realizate</w:t>
            </w:r>
            <w:r w:rsidRPr="001E6027">
              <w:rPr>
                <w:rFonts w:ascii="Times New Roman" w:hAnsi="Times New Roman"/>
                <w:sz w:val="20"/>
                <w:szCs w:val="20"/>
              </w:rPr>
              <w:t xml:space="preserve"> de operatorul respectiv cu serviciile de transport, de sistem, administrare piaţă, administrare PRE şi redistribuire, la cantitatea totală achiziţionată ce include dezechilibrele realizate. Pentru operatorul de transport şi de sistem, în calculul preţului </w:t>
            </w:r>
            <w:r w:rsidRPr="001E6027">
              <w:rPr>
                <w:rFonts w:ascii="Times New Roman" w:hAnsi="Times New Roman"/>
                <w:bCs/>
                <w:sz w:val="20"/>
                <w:szCs w:val="20"/>
              </w:rPr>
              <w:t>luat în considerare la stabilirea mediei şi numai în scopul stabilirii acesteia,</w:t>
            </w:r>
            <w:r w:rsidRPr="001E6027">
              <w:rPr>
                <w:rFonts w:ascii="Times New Roman" w:hAnsi="Times New Roman"/>
                <w:b/>
                <w:bCs/>
                <w:sz w:val="20"/>
                <w:szCs w:val="20"/>
              </w:rPr>
              <w:t xml:space="preserve"> </w:t>
            </w:r>
            <w:r w:rsidRPr="001E6027">
              <w:rPr>
                <w:rFonts w:ascii="Times New Roman" w:hAnsi="Times New Roman"/>
                <w:sz w:val="20"/>
                <w:szCs w:val="20"/>
              </w:rPr>
              <w:t>se însumeazǎ</w:t>
            </w:r>
            <w:r w:rsidRPr="001E6027">
              <w:rPr>
                <w:rStyle w:val="spar3"/>
                <w:rFonts w:ascii="Times New Roman" w:hAnsi="Times New Roman"/>
                <w:bCs/>
              </w:rPr>
              <w:t xml:space="preserve"> tarifele în vigoare pentru serviciile de transport şi de sistem”</w:t>
            </w:r>
          </w:p>
        </w:tc>
        <w:tc>
          <w:tcPr>
            <w:tcW w:w="3420" w:type="dxa"/>
            <w:shd w:val="clear" w:color="auto" w:fill="auto"/>
          </w:tcPr>
          <w:p w:rsidR="006E296C" w:rsidRPr="002A256A" w:rsidRDefault="006E296C" w:rsidP="009A6599">
            <w:pPr>
              <w:pStyle w:val="BodyTextIndent3"/>
              <w:spacing w:after="0" w:line="240" w:lineRule="auto"/>
              <w:ind w:left="0"/>
              <w:jc w:val="both"/>
              <w:rPr>
                <w:rFonts w:ascii="Times New Roman" w:hAnsi="Times New Roman"/>
                <w:sz w:val="20"/>
                <w:szCs w:val="20"/>
              </w:rPr>
            </w:pPr>
            <w:r w:rsidRPr="002A256A">
              <w:rPr>
                <w:rFonts w:ascii="Times New Roman" w:hAnsi="Times New Roman"/>
                <w:sz w:val="20"/>
                <w:szCs w:val="20"/>
              </w:rPr>
              <w:lastRenderedPageBreak/>
              <w:t xml:space="preserve">(4^1) Prețurile operatorilor de rețea luate în considerare la stabilirea mediei prevǎzute la alin. (4) se calculeazǎ prin </w:t>
            </w:r>
            <w:r w:rsidRPr="002A256A">
              <w:rPr>
                <w:rFonts w:ascii="Times New Roman" w:hAnsi="Times New Roman"/>
                <w:sz w:val="20"/>
                <w:szCs w:val="20"/>
              </w:rPr>
              <w:lastRenderedPageBreak/>
              <w:t>însumarea la preţul de achiziţie realizat de un operator şi recalculat prin limitarea dezechilibrelor pozitive şi negative la 5% din cantitatea de energie electricǎ pentru acoperirea CPT, a unei componente determinate prin împărțirea cheltuielilor realizate de operatorul respectiv cu serviciile de transport, de sistem, administrare piaţă, administrare PRE şi redistribuire, la cantitatea totală achiziţionată ce include dezechilibrele realizate. Pentru operatorul de transport şi de sistem, în calculul preţului luat în considerare la stabilirea mediei şi numai în scopul stabilirii acesteia, se însumeazǎ tarifele în vigoare pentru serviciile de transport (</w:t>
            </w:r>
            <w:r w:rsidRPr="002A256A">
              <w:rPr>
                <w:rFonts w:ascii="Times New Roman" w:hAnsi="Times New Roman"/>
                <w:b/>
                <w:sz w:val="20"/>
                <w:szCs w:val="20"/>
              </w:rPr>
              <w:t>componenta de extragere a energiei electrice din retea TL)</w:t>
            </w:r>
            <w:r w:rsidRPr="002A256A">
              <w:rPr>
                <w:rFonts w:ascii="Times New Roman" w:hAnsi="Times New Roman"/>
                <w:sz w:val="20"/>
                <w:szCs w:val="20"/>
              </w:rPr>
              <w:t xml:space="preserve"> şi de sistem.</w:t>
            </w:r>
          </w:p>
        </w:tc>
        <w:tc>
          <w:tcPr>
            <w:tcW w:w="2340" w:type="dxa"/>
            <w:shd w:val="clear" w:color="auto" w:fill="auto"/>
          </w:tcPr>
          <w:p w:rsidR="006E296C" w:rsidRPr="00773E64" w:rsidRDefault="006E296C" w:rsidP="009A6599">
            <w:pPr>
              <w:pStyle w:val="BodyTextIndent3"/>
              <w:spacing w:after="0" w:line="240" w:lineRule="auto"/>
              <w:ind w:left="0"/>
              <w:jc w:val="both"/>
              <w:rPr>
                <w:rFonts w:ascii="Times New Roman" w:hAnsi="Times New Roman"/>
                <w:sz w:val="20"/>
                <w:szCs w:val="20"/>
                <w:highlight w:val="yellow"/>
              </w:rPr>
            </w:pPr>
            <w:r w:rsidRPr="009A6599">
              <w:rPr>
                <w:rFonts w:ascii="Times New Roman" w:hAnsi="Times New Roman"/>
                <w:sz w:val="20"/>
                <w:szCs w:val="20"/>
              </w:rPr>
              <w:lastRenderedPageBreak/>
              <w:t xml:space="preserve">Tariful pentru componenta de introducere a energiei </w:t>
            </w:r>
            <w:r w:rsidRPr="009A6599">
              <w:rPr>
                <w:rFonts w:ascii="Times New Roman" w:hAnsi="Times New Roman"/>
                <w:sz w:val="20"/>
                <w:szCs w:val="20"/>
              </w:rPr>
              <w:lastRenderedPageBreak/>
              <w:t>electrice in retea (TG) este deja inclus în preţul energiei electrice pentru acoperirea CPT</w:t>
            </w:r>
          </w:p>
        </w:tc>
        <w:tc>
          <w:tcPr>
            <w:tcW w:w="2261" w:type="dxa"/>
          </w:tcPr>
          <w:p w:rsidR="006E296C" w:rsidRPr="004900B2" w:rsidRDefault="009A6599" w:rsidP="006E296C">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lastRenderedPageBreak/>
              <w:t>De acord.</w:t>
            </w:r>
            <w:r w:rsidR="00F85AB2">
              <w:rPr>
                <w:rFonts w:ascii="Times New Roman" w:eastAsia="Batang" w:hAnsi="Times New Roman"/>
                <w:sz w:val="20"/>
                <w:szCs w:val="20"/>
                <w:lang w:eastAsia="ko-KR"/>
              </w:rPr>
              <w:t xml:space="preserve"> Se completează conform propunerii OTS</w:t>
            </w:r>
          </w:p>
        </w:tc>
      </w:tr>
      <w:tr w:rsidR="006E296C" w:rsidRPr="004900B2" w:rsidTr="00AF1123">
        <w:trPr>
          <w:trHeight w:val="562"/>
        </w:trPr>
        <w:tc>
          <w:tcPr>
            <w:tcW w:w="473" w:type="dxa"/>
            <w:shd w:val="clear" w:color="auto" w:fill="auto"/>
          </w:tcPr>
          <w:p w:rsidR="006E296C" w:rsidRPr="004900B2" w:rsidRDefault="006E296C" w:rsidP="006E296C">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62" w:type="dxa"/>
          </w:tcPr>
          <w:p w:rsidR="006E296C" w:rsidRDefault="004A09D5" w:rsidP="006E296C">
            <w:pPr>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Art. 98</w:t>
            </w:r>
          </w:p>
        </w:tc>
        <w:tc>
          <w:tcPr>
            <w:tcW w:w="3060" w:type="dxa"/>
            <w:shd w:val="clear" w:color="auto" w:fill="auto"/>
          </w:tcPr>
          <w:p w:rsidR="006E296C" w:rsidRPr="00BB10D5" w:rsidRDefault="006E296C" w:rsidP="006E296C">
            <w:pPr>
              <w:pStyle w:val="ListParagraph"/>
              <w:spacing w:after="0" w:line="240" w:lineRule="auto"/>
              <w:ind w:left="-108"/>
              <w:jc w:val="both"/>
              <w:rPr>
                <w:rFonts w:ascii="Times New Roman" w:hAnsi="Times New Roman"/>
                <w:sz w:val="20"/>
                <w:szCs w:val="20"/>
              </w:rPr>
            </w:pPr>
            <w:r>
              <w:rPr>
                <w:rFonts w:ascii="Times New Roman" w:hAnsi="Times New Roman"/>
                <w:sz w:val="20"/>
                <w:szCs w:val="20"/>
              </w:rPr>
              <w:t>(2)</w:t>
            </w:r>
            <w:r w:rsidRPr="00BB10D5">
              <w:rPr>
                <w:rFonts w:ascii="Times New Roman" w:hAnsi="Times New Roman"/>
                <w:sz w:val="20"/>
                <w:szCs w:val="20"/>
              </w:rPr>
              <w:t>Prin T</w:t>
            </w:r>
            <w:r w:rsidRPr="001E6027">
              <w:rPr>
                <w:rFonts w:ascii="Times New Roman" w:hAnsi="Times New Roman"/>
                <w:sz w:val="20"/>
                <w:szCs w:val="20"/>
              </w:rPr>
              <w:t>G</w:t>
            </w:r>
            <w:r w:rsidRPr="00BB10D5">
              <w:rPr>
                <w:rFonts w:ascii="Times New Roman" w:hAnsi="Times New Roman"/>
                <w:sz w:val="20"/>
                <w:szCs w:val="20"/>
              </w:rPr>
              <w:t xml:space="preserve"> se recuperează până la 85% din costul de achiziţie a energiei electrice pentru acoperirea CPT reglementat în RET, prognozat pentru anul de referință, precum și costul prognozat pentru eliminarea congestiilor prin redispecerizare, stabilit pentru anul </w:t>
            </w:r>
            <w:r w:rsidRPr="001E6027">
              <w:rPr>
                <w:rFonts w:ascii="Times New Roman" w:hAnsi="Times New Roman"/>
                <w:sz w:val="20"/>
                <w:szCs w:val="20"/>
              </w:rPr>
              <w:t>t</w:t>
            </w:r>
            <w:r w:rsidRPr="00BB10D5">
              <w:rPr>
                <w:rFonts w:ascii="Times New Roman" w:hAnsi="Times New Roman"/>
                <w:sz w:val="20"/>
                <w:szCs w:val="20"/>
              </w:rPr>
              <w:t xml:space="preserve"> în conformitate cu prevederile prezentei metodologii.</w:t>
            </w:r>
          </w:p>
          <w:p w:rsidR="006E296C" w:rsidRPr="00BB10D5" w:rsidRDefault="006E296C" w:rsidP="006E296C">
            <w:pPr>
              <w:pStyle w:val="BodyTextIndent3"/>
              <w:tabs>
                <w:tab w:val="left" w:pos="426"/>
              </w:tabs>
              <w:spacing w:after="0" w:line="360" w:lineRule="auto"/>
              <w:ind w:left="0"/>
              <w:jc w:val="both"/>
              <w:rPr>
                <w:rFonts w:ascii="Times New Roman" w:hAnsi="Times New Roman"/>
                <w:sz w:val="20"/>
                <w:szCs w:val="20"/>
              </w:rPr>
            </w:pPr>
          </w:p>
        </w:tc>
        <w:tc>
          <w:tcPr>
            <w:tcW w:w="3420" w:type="dxa"/>
          </w:tcPr>
          <w:p w:rsidR="006E296C" w:rsidRPr="001E6027" w:rsidRDefault="006E296C" w:rsidP="006E296C">
            <w:pPr>
              <w:pStyle w:val="ListParagraph"/>
              <w:spacing w:after="0" w:line="240" w:lineRule="auto"/>
              <w:ind w:left="-108"/>
              <w:jc w:val="both"/>
              <w:rPr>
                <w:rFonts w:ascii="Times New Roman" w:hAnsi="Times New Roman"/>
                <w:sz w:val="20"/>
                <w:szCs w:val="20"/>
              </w:rPr>
            </w:pPr>
            <w:r>
              <w:rPr>
                <w:rFonts w:ascii="Times New Roman" w:hAnsi="Times New Roman"/>
                <w:sz w:val="20"/>
                <w:szCs w:val="20"/>
              </w:rPr>
              <w:t xml:space="preserve"> (2)</w:t>
            </w:r>
            <w:r w:rsidRPr="001E6027">
              <w:rPr>
                <w:rFonts w:ascii="Times New Roman" w:hAnsi="Times New Roman"/>
                <w:sz w:val="20"/>
                <w:szCs w:val="20"/>
              </w:rPr>
              <w:t xml:space="preserve">Prin TG se recuperează o parte din costul de achiziţie a energiei electrice pentru acoperirea CPT reglementat în RET, prognozat pentru anul de referință, corespunzător producției exportate stabilită pe baza regimurilor de funcționare a SEN, precum și costul mediu prognozat pentru eliminarea congestiilor prin redispecerizare, stabilit pentru anul t în conformitate cu prevederile </w:t>
            </w:r>
            <w:r>
              <w:rPr>
                <w:rFonts w:ascii="Times New Roman" w:hAnsi="Times New Roman"/>
                <w:sz w:val="20"/>
                <w:szCs w:val="20"/>
              </w:rPr>
              <w:t>prezentei metodologii.</w:t>
            </w:r>
          </w:p>
          <w:p w:rsidR="006E296C" w:rsidRPr="00BB10D5" w:rsidRDefault="006E296C" w:rsidP="006E296C">
            <w:pPr>
              <w:pStyle w:val="ListParagraph"/>
              <w:spacing w:after="0" w:line="240" w:lineRule="auto"/>
              <w:ind w:left="-108"/>
              <w:jc w:val="both"/>
              <w:rPr>
                <w:rFonts w:ascii="Times New Roman" w:hAnsi="Times New Roman"/>
                <w:sz w:val="20"/>
                <w:szCs w:val="20"/>
              </w:rPr>
            </w:pPr>
          </w:p>
        </w:tc>
        <w:tc>
          <w:tcPr>
            <w:tcW w:w="3420" w:type="dxa"/>
            <w:shd w:val="clear" w:color="auto" w:fill="auto"/>
          </w:tcPr>
          <w:p w:rsidR="006E296C" w:rsidRPr="008D6459" w:rsidRDefault="006E296C" w:rsidP="006E296C">
            <w:pPr>
              <w:pStyle w:val="BodyTextIndent3"/>
              <w:spacing w:after="0" w:line="240" w:lineRule="auto"/>
              <w:ind w:left="0"/>
              <w:jc w:val="both"/>
              <w:rPr>
                <w:rFonts w:ascii="Times New Roman" w:hAnsi="Times New Roman"/>
                <w:sz w:val="20"/>
                <w:szCs w:val="20"/>
              </w:rPr>
            </w:pPr>
            <w:r w:rsidRPr="008D6459">
              <w:rPr>
                <w:rFonts w:ascii="Times New Roman" w:hAnsi="Times New Roman"/>
                <w:sz w:val="20"/>
                <w:szCs w:val="20"/>
              </w:rPr>
              <w:t xml:space="preserve">(2) Prin TG se recuperează o parte din costul de achiziţie a energiei electrice pentru acoperirea CPT reglementat în RET, prognozat pentru anul de referinţă, corespunzător producţiei exportate, </w:t>
            </w:r>
            <w:r w:rsidRPr="00043554">
              <w:rPr>
                <w:rFonts w:ascii="Times New Roman" w:hAnsi="Times New Roman"/>
                <w:sz w:val="20"/>
                <w:szCs w:val="20"/>
              </w:rPr>
              <w:t>precum şi costul mediu prognozat pentru eliminarea congestiilor prin redispecerizare, stabilit pentru anul t în conformitate cu prevederile prezentei metodologii.</w:t>
            </w:r>
            <w:r w:rsidRPr="008D6459">
              <w:rPr>
                <w:rFonts w:ascii="Times New Roman" w:hAnsi="Times New Roman"/>
                <w:b/>
                <w:sz w:val="20"/>
                <w:szCs w:val="20"/>
              </w:rPr>
              <w:t xml:space="preserve"> Estimarea costului CPT aferent producției exportate se realizează prin aplicarea procentului cpt reglementat stabilit pentru anul de referință, la cantitatea de energie exportată în perioada de 12 luni </w:t>
            </w:r>
            <w:r w:rsidRPr="008D6459">
              <w:rPr>
                <w:rFonts w:ascii="Times New Roman" w:hAnsi="Times New Roman"/>
                <w:b/>
                <w:sz w:val="20"/>
                <w:szCs w:val="20"/>
              </w:rPr>
              <w:lastRenderedPageBreak/>
              <w:t>aferentă ultimelor două semestre încheiate anterior începerii perioadei de reglementare.</w:t>
            </w:r>
          </w:p>
        </w:tc>
        <w:tc>
          <w:tcPr>
            <w:tcW w:w="2340" w:type="dxa"/>
            <w:shd w:val="clear" w:color="auto" w:fill="auto"/>
          </w:tcPr>
          <w:p w:rsidR="006E296C" w:rsidRPr="00DC0BBA" w:rsidRDefault="006E296C" w:rsidP="006E296C">
            <w:pPr>
              <w:pStyle w:val="BodyTextIndent3"/>
              <w:spacing w:after="0" w:line="240" w:lineRule="auto"/>
              <w:ind w:left="0"/>
              <w:jc w:val="both"/>
              <w:rPr>
                <w:rFonts w:ascii="Times New Roman" w:hAnsi="Times New Roman"/>
                <w:sz w:val="20"/>
                <w:szCs w:val="20"/>
              </w:rPr>
            </w:pPr>
            <w:r w:rsidRPr="00140A80">
              <w:rPr>
                <w:rFonts w:ascii="Times New Roman" w:hAnsi="Times New Roman"/>
                <w:sz w:val="20"/>
                <w:szCs w:val="20"/>
              </w:rPr>
              <w:lastRenderedPageBreak/>
              <w:t>Întelegem că scopul modificării propuse este de a stabili în sarcina producătorilor de energie electrică costul aferent CPT indus în funcționarea RET de fluxurile fizice de energie electrică aferente producției exportate, restul costului CPT fiind alocat consumatorilor.</w:t>
            </w:r>
          </w:p>
          <w:p w:rsidR="006E296C" w:rsidRPr="004900B2" w:rsidRDefault="006E296C" w:rsidP="006E296C">
            <w:pPr>
              <w:pStyle w:val="BodyTextIndent3"/>
              <w:spacing w:after="0" w:line="240" w:lineRule="auto"/>
              <w:ind w:left="0"/>
              <w:jc w:val="both"/>
              <w:rPr>
                <w:rFonts w:ascii="Times New Roman" w:hAnsi="Times New Roman"/>
                <w:sz w:val="20"/>
                <w:szCs w:val="20"/>
              </w:rPr>
            </w:pPr>
            <w:r w:rsidRPr="00DC0BBA">
              <w:rPr>
                <w:rFonts w:ascii="Times New Roman" w:hAnsi="Times New Roman"/>
                <w:sz w:val="20"/>
                <w:szCs w:val="20"/>
              </w:rPr>
              <w:t xml:space="preserve">Având în vedere că un calcul bazat pe regimuri caracteristice de funcționare este în esență un calcul de prognoză și </w:t>
            </w:r>
            <w:r w:rsidRPr="00DC0BBA">
              <w:rPr>
                <w:rFonts w:ascii="Times New Roman" w:hAnsi="Times New Roman"/>
                <w:sz w:val="20"/>
                <w:szCs w:val="20"/>
              </w:rPr>
              <w:lastRenderedPageBreak/>
              <w:t xml:space="preserve">se bazează pe un set de ipoteze de lucru care conțin în mod inevitabil o doză de incertitudine, vă propunem o modalitate simplificată pentru stabilirea cantității CPT al cărei cost este alocat pe tariful aplicat la introducerea energiei electrice în rețele. Modalitatea propusă pastrează linia principială a propunerii ANRE în sensul alocării pe tariful TG a costurilor pierderilor induse în funcționarea RET de exportul energiei electrice. În mod concret modalitatea propusă constă în aplicarea procentului cpt în RET (procentul-țintă stabilit pentru anul de referință) la cantitatea de energie electrica exportată masurată într-o perioadă de 12 luni aferentă ultimelor două semestre încheiate anterior începerii perioadei de reglementare (primul semestru al anului de referință și al doilea semestru al anului </w:t>
            </w:r>
            <w:r w:rsidRPr="00DC0BBA">
              <w:rPr>
                <w:rFonts w:ascii="Times New Roman" w:hAnsi="Times New Roman"/>
                <w:sz w:val="20"/>
                <w:szCs w:val="20"/>
              </w:rPr>
              <w:lastRenderedPageBreak/>
              <w:t>precedent anului de referință). Apreciem că simplificarea propusă nu afectează semnificativ calitatea prognozei. În ciuda naturii deterministe şi exacte a unui calcul de regim bazat pe regimuri caracteristice de funcţionare a reţelei, ipotezele care stau la baza acestor regimuri nu pot fi certe și prin urmare își vor transmite incertitudinea asupra rezultatelor calculului.</w:t>
            </w:r>
          </w:p>
        </w:tc>
        <w:tc>
          <w:tcPr>
            <w:tcW w:w="2261" w:type="dxa"/>
          </w:tcPr>
          <w:p w:rsidR="006E296C" w:rsidRPr="00490DE3" w:rsidRDefault="00340AB8" w:rsidP="006E296C">
            <w:pPr>
              <w:tabs>
                <w:tab w:val="left" w:pos="964"/>
                <w:tab w:val="left" w:pos="1080"/>
              </w:tabs>
              <w:spacing w:after="0" w:line="240" w:lineRule="auto"/>
              <w:jc w:val="both"/>
              <w:rPr>
                <w:rFonts w:ascii="Times New Roman" w:eastAsia="Batang" w:hAnsi="Times New Roman"/>
                <w:sz w:val="20"/>
                <w:szCs w:val="20"/>
                <w:lang w:eastAsia="ko-KR"/>
              </w:rPr>
            </w:pPr>
            <w:r w:rsidRPr="00490DE3">
              <w:rPr>
                <w:rFonts w:ascii="Times New Roman" w:eastAsia="Batang" w:hAnsi="Times New Roman"/>
                <w:sz w:val="20"/>
                <w:szCs w:val="20"/>
                <w:lang w:eastAsia="ko-KR"/>
              </w:rPr>
              <w:lastRenderedPageBreak/>
              <w:t>Nu se acceptă. Având în vedere că tariful de introducere a energiei electrice în rețele se stabilește la începutul perioadei de reglementare pentru toată perioada, OTS trebuie să stabilească prognoza de producție exportată în baza unui calcul elaborat, respectiv pe baza calculului de regimuri de funcționare.</w:t>
            </w:r>
          </w:p>
        </w:tc>
      </w:tr>
      <w:tr w:rsidR="006E296C" w:rsidRPr="004900B2" w:rsidTr="00AF1123">
        <w:trPr>
          <w:trHeight w:val="562"/>
        </w:trPr>
        <w:tc>
          <w:tcPr>
            <w:tcW w:w="473" w:type="dxa"/>
            <w:shd w:val="clear" w:color="auto" w:fill="auto"/>
          </w:tcPr>
          <w:p w:rsidR="006E296C" w:rsidRPr="004900B2" w:rsidRDefault="006E296C" w:rsidP="006E296C">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62" w:type="dxa"/>
          </w:tcPr>
          <w:p w:rsidR="006E296C" w:rsidRDefault="00DA769E" w:rsidP="006E296C">
            <w:pPr>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Art. 121</w:t>
            </w:r>
          </w:p>
        </w:tc>
        <w:tc>
          <w:tcPr>
            <w:tcW w:w="3060" w:type="dxa"/>
            <w:shd w:val="clear" w:color="auto" w:fill="auto"/>
          </w:tcPr>
          <w:p w:rsidR="006E296C" w:rsidRPr="00FE543A" w:rsidRDefault="006E296C" w:rsidP="006E296C">
            <w:pPr>
              <w:pStyle w:val="BodyText"/>
              <w:tabs>
                <w:tab w:val="left" w:pos="426"/>
                <w:tab w:val="left" w:pos="1170"/>
              </w:tabs>
              <w:autoSpaceDE/>
              <w:autoSpaceDN/>
              <w:spacing w:line="360" w:lineRule="auto"/>
              <w:jc w:val="both"/>
              <w:rPr>
                <w:sz w:val="20"/>
                <w:szCs w:val="20"/>
              </w:rPr>
            </w:pPr>
          </w:p>
        </w:tc>
        <w:tc>
          <w:tcPr>
            <w:tcW w:w="3420" w:type="dxa"/>
          </w:tcPr>
          <w:p w:rsidR="00DA769E" w:rsidRPr="00EA3EF0" w:rsidRDefault="00DA769E" w:rsidP="00DA769E">
            <w:pPr>
              <w:pStyle w:val="ListParagraph"/>
              <w:spacing w:after="0" w:line="240" w:lineRule="auto"/>
              <w:ind w:left="-108"/>
              <w:jc w:val="both"/>
              <w:rPr>
                <w:rFonts w:ascii="Times New Roman" w:hAnsi="Times New Roman"/>
                <w:sz w:val="20"/>
                <w:szCs w:val="20"/>
              </w:rPr>
            </w:pPr>
            <w:r w:rsidRPr="00EA3EF0">
              <w:rPr>
                <w:rFonts w:ascii="Times New Roman" w:hAnsi="Times New Roman"/>
                <w:sz w:val="20"/>
                <w:szCs w:val="20"/>
              </w:rPr>
              <w:t>Art. Nou</w:t>
            </w:r>
          </w:p>
          <w:p w:rsidR="00DA769E" w:rsidRDefault="00DA769E" w:rsidP="00DA769E">
            <w:pPr>
              <w:pStyle w:val="ListParagraph"/>
              <w:spacing w:after="0" w:line="240" w:lineRule="auto"/>
              <w:ind w:left="-108"/>
              <w:jc w:val="both"/>
              <w:rPr>
                <w:rFonts w:ascii="Times New Roman" w:hAnsi="Times New Roman"/>
                <w:sz w:val="20"/>
                <w:szCs w:val="20"/>
              </w:rPr>
            </w:pPr>
            <w:r w:rsidRPr="00DB5BD9">
              <w:rPr>
                <w:rFonts w:ascii="Times New Roman" w:hAnsi="Times New Roman"/>
                <w:sz w:val="20"/>
                <w:szCs w:val="20"/>
              </w:rPr>
              <w:t>(</w:t>
            </w:r>
            <w:r w:rsidRPr="00EA3EF0">
              <w:rPr>
                <w:rFonts w:ascii="Times New Roman" w:hAnsi="Times New Roman"/>
                <w:sz w:val="20"/>
                <w:szCs w:val="20"/>
              </w:rPr>
              <w:t>1) Costurile cu achiziția energiei reactive necesare reglǎrii tensiunii în reţeaua electricǎ de transport pentru primul an al perioadei de reglementare, se determină pe baza mediei costurilor  aprobate de ANRE prin ordin pentru perioadele tarifare 2019 – 2020 și 2020 – 2021.</w:t>
            </w:r>
          </w:p>
          <w:p w:rsidR="006E296C" w:rsidRPr="00EA3EF0" w:rsidRDefault="006E296C" w:rsidP="00DA769E">
            <w:pPr>
              <w:pStyle w:val="ListParagraph"/>
              <w:spacing w:after="0" w:line="240" w:lineRule="auto"/>
              <w:ind w:left="-108"/>
              <w:jc w:val="both"/>
              <w:rPr>
                <w:rFonts w:ascii="Times New Roman" w:hAnsi="Times New Roman"/>
                <w:sz w:val="20"/>
                <w:szCs w:val="20"/>
              </w:rPr>
            </w:pPr>
            <w:r>
              <w:rPr>
                <w:rFonts w:ascii="Times New Roman" w:hAnsi="Times New Roman"/>
                <w:sz w:val="20"/>
                <w:szCs w:val="20"/>
              </w:rPr>
              <w:t xml:space="preserve">(2) </w:t>
            </w:r>
            <w:r w:rsidRPr="00EA3EF0">
              <w:rPr>
                <w:rFonts w:ascii="Times New Roman" w:hAnsi="Times New Roman"/>
                <w:sz w:val="20"/>
                <w:szCs w:val="20"/>
              </w:rPr>
              <w:t xml:space="preserve">Începând cu cel de-al doilea an al perioadei a IV-a de reglementare, costurile cu achiziţia energiei reactive necesare reglǎrii tensiunii în reţeaua electricǎ de transport se aprobă de ANRE la nivelul solicitat de OTS, în limita valorii realizate în anul de referinţǎ.  </w:t>
            </w:r>
          </w:p>
        </w:tc>
        <w:tc>
          <w:tcPr>
            <w:tcW w:w="3420" w:type="dxa"/>
            <w:shd w:val="clear" w:color="auto" w:fill="auto"/>
          </w:tcPr>
          <w:p w:rsidR="006E296C" w:rsidRPr="00AA109B" w:rsidRDefault="006E296C" w:rsidP="006E296C">
            <w:pPr>
              <w:pStyle w:val="BodyTextIndent3"/>
              <w:spacing w:after="0" w:line="240" w:lineRule="auto"/>
              <w:ind w:left="0"/>
              <w:jc w:val="both"/>
              <w:rPr>
                <w:rFonts w:ascii="Times New Roman" w:hAnsi="Times New Roman"/>
                <w:sz w:val="20"/>
                <w:szCs w:val="20"/>
              </w:rPr>
            </w:pPr>
            <w:r w:rsidRPr="00AA109B">
              <w:rPr>
                <w:rFonts w:ascii="Times New Roman" w:hAnsi="Times New Roman"/>
                <w:sz w:val="20"/>
                <w:szCs w:val="20"/>
              </w:rPr>
              <w:t>Menținerea tratamentului actual al costurilor cu serviciile  de compensare a energiei reactive recunoscute în prezent în cadrul bazei de costuri aferente tarifului pentru servicii tehnologice de sistem, cu transferarea acestor costuri în cadrul bazei de costuri a tarifului de transport</w:t>
            </w:r>
            <w:r>
              <w:rPr>
                <w:rFonts w:ascii="Times New Roman" w:hAnsi="Times New Roman"/>
                <w:sz w:val="20"/>
                <w:szCs w:val="20"/>
              </w:rPr>
              <w:t>.</w:t>
            </w:r>
          </w:p>
        </w:tc>
        <w:tc>
          <w:tcPr>
            <w:tcW w:w="2340" w:type="dxa"/>
            <w:shd w:val="clear" w:color="auto" w:fill="auto"/>
          </w:tcPr>
          <w:p w:rsidR="006E296C" w:rsidRPr="00195BEF" w:rsidRDefault="006E296C" w:rsidP="006E296C">
            <w:pPr>
              <w:pStyle w:val="BodyTextIndent3"/>
              <w:spacing w:after="0" w:line="240" w:lineRule="auto"/>
              <w:ind w:left="-74"/>
              <w:jc w:val="both"/>
              <w:rPr>
                <w:rFonts w:ascii="Times New Roman" w:hAnsi="Times New Roman"/>
                <w:sz w:val="20"/>
                <w:szCs w:val="20"/>
              </w:rPr>
            </w:pPr>
            <w:r w:rsidRPr="00195BEF">
              <w:rPr>
                <w:rFonts w:ascii="Times New Roman" w:hAnsi="Times New Roman"/>
                <w:sz w:val="20"/>
                <w:szCs w:val="20"/>
              </w:rPr>
              <w:t xml:space="preserve">Având în vedere că OTS nu deţine controlul asupra cantităţii de servicii de compensare a puterii reactive necesare a fi procurate de la SPEEH Hidroelectrica SA pentru realizarea reglajului tensiunii în reţea şi nu deţine controlul asupra preţului plătibil către SPEEH Hidroelectrica SA pentru furnizarea serviciului, considerăm că nu este adecvată tratarea costurilor aferente serviciilor de compensare a energiei reactive conform principiilor specifice </w:t>
            </w:r>
            <w:r w:rsidRPr="00195BEF">
              <w:rPr>
                <w:rFonts w:ascii="Times New Roman" w:hAnsi="Times New Roman"/>
                <w:sz w:val="20"/>
                <w:szCs w:val="20"/>
              </w:rPr>
              <w:lastRenderedPageBreak/>
              <w:t xml:space="preserve">costurilor de natură controlabilă. Lipsa controlului OTS asupra fiecareia dintre cele două componente ale costului - cantitatea şi preţul unitar - nu recomandă asimilarea acestui cost în categoria costurilor controlabile. Prin urmare apreciem ca nejustificată propunerea ANRE de limitare a recunoaşterii în tarif a costului cu serviciile de compensare a puterii reactive, cu atât mai mult cu cât limitarea este stabilită la nivelul costului total. </w:t>
            </w:r>
          </w:p>
          <w:p w:rsidR="006E296C" w:rsidRPr="004900B2" w:rsidRDefault="006E296C" w:rsidP="006E296C">
            <w:pPr>
              <w:pStyle w:val="BodyTextIndent3"/>
              <w:spacing w:after="0" w:line="240" w:lineRule="auto"/>
              <w:ind w:left="-74"/>
              <w:jc w:val="both"/>
              <w:rPr>
                <w:rFonts w:ascii="Times New Roman" w:hAnsi="Times New Roman"/>
                <w:sz w:val="20"/>
                <w:szCs w:val="20"/>
              </w:rPr>
            </w:pPr>
            <w:r w:rsidRPr="00195BEF">
              <w:rPr>
                <w:rFonts w:ascii="Times New Roman" w:hAnsi="Times New Roman"/>
                <w:sz w:val="20"/>
                <w:szCs w:val="20"/>
              </w:rPr>
              <w:t xml:space="preserve">În plus, în lipsa controlului real anterior menționat, limitarea recunoaşterii costurilor în tarif poate conduce la costuri nejustificat de mari pentru asigurarea reglajului de tensiune, cu un posibil impact atât asupra situației financiare a Companiei cât și asupra posibilității de procurare a serviciilor de compensare a puterii reactive, cu efect direct asupra siguranței în funcționarea </w:t>
            </w:r>
            <w:r w:rsidRPr="00195BEF">
              <w:rPr>
                <w:rFonts w:ascii="Times New Roman" w:hAnsi="Times New Roman"/>
                <w:sz w:val="20"/>
                <w:szCs w:val="20"/>
              </w:rPr>
              <w:lastRenderedPageBreak/>
              <w:t xml:space="preserve">echipamentelor și a alimentării consumatorilor.  </w:t>
            </w:r>
          </w:p>
        </w:tc>
        <w:tc>
          <w:tcPr>
            <w:tcW w:w="2261" w:type="dxa"/>
          </w:tcPr>
          <w:p w:rsidR="006E296C" w:rsidRDefault="006E296C" w:rsidP="006E296C">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lastRenderedPageBreak/>
              <w:t xml:space="preserve">Nu se acceptă. </w:t>
            </w:r>
          </w:p>
          <w:p w:rsidR="006E296C" w:rsidRDefault="006E296C" w:rsidP="006E296C">
            <w:pPr>
              <w:tabs>
                <w:tab w:val="left" w:pos="964"/>
                <w:tab w:val="left" w:pos="1080"/>
              </w:tabs>
              <w:spacing w:after="0" w:line="240" w:lineRule="auto"/>
              <w:jc w:val="both"/>
              <w:rPr>
                <w:rFonts w:ascii="Times New Roman" w:eastAsia="Batang" w:hAnsi="Times New Roman"/>
                <w:sz w:val="20"/>
                <w:szCs w:val="20"/>
                <w:lang w:eastAsia="ko-KR"/>
              </w:rPr>
            </w:pPr>
            <w:r w:rsidRPr="00195BEF">
              <w:rPr>
                <w:rFonts w:ascii="Times New Roman" w:eastAsia="Batang" w:hAnsi="Times New Roman"/>
                <w:sz w:val="20"/>
                <w:szCs w:val="20"/>
                <w:lang w:eastAsia="ko-KR"/>
              </w:rPr>
              <w:t>OTS deţine controlul asupra creşterii capacităţii proprii de compensare a puterii reactive prin măsuri investiţionale</w:t>
            </w:r>
            <w:r>
              <w:rPr>
                <w:rFonts w:ascii="Times New Roman" w:eastAsia="Batang" w:hAnsi="Times New Roman"/>
                <w:sz w:val="20"/>
                <w:szCs w:val="20"/>
                <w:lang w:eastAsia="ko-KR"/>
              </w:rPr>
              <w:t>. Astfel, prin reducerea cantității  de energie reactivă achiziționată de la Hidroelectrica poate fi absorbită creșterea de preț astfel încât costurile realizate să se încadreze în limita valorii realizate în anul de referință.</w:t>
            </w:r>
          </w:p>
          <w:p w:rsidR="00384A73" w:rsidRDefault="00384A73" w:rsidP="00384A73">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Totodată remarcăm că OTS apreciază că face eforturi deosebite pentru </w:t>
            </w:r>
            <w:r>
              <w:rPr>
                <w:rFonts w:ascii="Times New Roman" w:eastAsia="Batang" w:hAnsi="Times New Roman"/>
                <w:sz w:val="20"/>
                <w:szCs w:val="20"/>
                <w:lang w:eastAsia="ko-KR"/>
              </w:rPr>
              <w:lastRenderedPageBreak/>
              <w:t>realizarea investițiilor</w:t>
            </w:r>
            <w:r w:rsidR="00571DDF">
              <w:rPr>
                <w:rFonts w:ascii="Times New Roman" w:eastAsia="Batang" w:hAnsi="Times New Roman"/>
                <w:sz w:val="20"/>
                <w:szCs w:val="20"/>
                <w:lang w:eastAsia="ko-KR"/>
              </w:rPr>
              <w:t>, dar</w:t>
            </w:r>
            <w:r>
              <w:rPr>
                <w:rFonts w:ascii="Times New Roman" w:eastAsia="Batang" w:hAnsi="Times New Roman"/>
                <w:sz w:val="20"/>
                <w:szCs w:val="20"/>
                <w:lang w:eastAsia="ko-KR"/>
              </w:rPr>
              <w:t xml:space="preserve"> din informările periodice </w:t>
            </w:r>
            <w:r w:rsidR="00571DDF">
              <w:rPr>
                <w:rFonts w:ascii="Times New Roman" w:eastAsia="Batang" w:hAnsi="Times New Roman"/>
                <w:sz w:val="20"/>
                <w:szCs w:val="20"/>
                <w:lang w:eastAsia="ko-KR"/>
              </w:rPr>
              <w:t>p</w:t>
            </w:r>
            <w:r>
              <w:rPr>
                <w:rFonts w:ascii="Times New Roman" w:eastAsia="Batang" w:hAnsi="Times New Roman"/>
                <w:sz w:val="20"/>
                <w:szCs w:val="20"/>
                <w:lang w:eastAsia="ko-KR"/>
              </w:rPr>
              <w:t>e care le transmite la ANRE se constată o întârziere față de termene</w:t>
            </w:r>
            <w:r w:rsidR="00571DDF">
              <w:rPr>
                <w:rFonts w:ascii="Times New Roman" w:eastAsia="Batang" w:hAnsi="Times New Roman"/>
                <w:sz w:val="20"/>
                <w:szCs w:val="20"/>
                <w:lang w:eastAsia="ko-KR"/>
              </w:rPr>
              <w:t>le</w:t>
            </w:r>
            <w:r>
              <w:rPr>
                <w:rFonts w:ascii="Times New Roman" w:eastAsia="Batang" w:hAnsi="Times New Roman"/>
                <w:sz w:val="20"/>
                <w:szCs w:val="20"/>
                <w:lang w:eastAsia="ko-KR"/>
              </w:rPr>
              <w:t xml:space="preserve">  de PIF asumate inițial pentru investițiile respective.</w:t>
            </w:r>
          </w:p>
          <w:p w:rsidR="00E65B3A" w:rsidRDefault="00571DDF" w:rsidP="00384A73">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Mai mult, s</w:t>
            </w:r>
            <w:r w:rsidR="00E65B3A">
              <w:rPr>
                <w:rFonts w:ascii="Times New Roman" w:eastAsia="Batang" w:hAnsi="Times New Roman"/>
                <w:sz w:val="20"/>
                <w:szCs w:val="20"/>
                <w:lang w:eastAsia="ko-KR"/>
              </w:rPr>
              <w:t>ubliniem că plafonul stabilit este l</w:t>
            </w:r>
            <w:r w:rsidR="00774F3B">
              <w:rPr>
                <w:rFonts w:ascii="Times New Roman" w:eastAsia="Batang" w:hAnsi="Times New Roman"/>
                <w:sz w:val="20"/>
                <w:szCs w:val="20"/>
                <w:lang w:eastAsia="ko-KR"/>
              </w:rPr>
              <w:t>a</w:t>
            </w:r>
            <w:r>
              <w:rPr>
                <w:rFonts w:ascii="Times New Roman" w:eastAsia="Batang" w:hAnsi="Times New Roman"/>
                <w:sz w:val="20"/>
                <w:szCs w:val="20"/>
                <w:lang w:eastAsia="ko-KR"/>
              </w:rPr>
              <w:t xml:space="preserve"> </w:t>
            </w:r>
            <w:r w:rsidR="00E65B3A">
              <w:rPr>
                <w:rFonts w:ascii="Times New Roman" w:eastAsia="Batang" w:hAnsi="Times New Roman"/>
                <w:sz w:val="20"/>
                <w:szCs w:val="20"/>
                <w:lang w:eastAsia="ko-KR"/>
              </w:rPr>
              <w:t>nivelul realizat în anul 2019, an în care nu au fost instalate mijloacele de compensare care vor conduce la reducerea cantității achiziționate.</w:t>
            </w:r>
          </w:p>
          <w:p w:rsidR="00F644D0" w:rsidRDefault="00F644D0" w:rsidP="00421808">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De asemenea precizăm că aceasta este o categorie distinctă de costuri cu reguli de recunoaștere</w:t>
            </w:r>
            <w:r w:rsidR="00421808">
              <w:rPr>
                <w:rFonts w:ascii="Times New Roman" w:eastAsia="Batang" w:hAnsi="Times New Roman"/>
                <w:sz w:val="20"/>
                <w:szCs w:val="20"/>
                <w:lang w:eastAsia="ko-KR"/>
              </w:rPr>
              <w:t xml:space="preserve"> precizate</w:t>
            </w:r>
            <w:r>
              <w:rPr>
                <w:rFonts w:ascii="Times New Roman" w:eastAsia="Batang" w:hAnsi="Times New Roman"/>
                <w:sz w:val="20"/>
                <w:szCs w:val="20"/>
                <w:lang w:eastAsia="ko-KR"/>
              </w:rPr>
              <w:t>.</w:t>
            </w:r>
          </w:p>
          <w:p w:rsidR="007E4BB5" w:rsidRPr="004900B2" w:rsidRDefault="00221440" w:rsidP="00221440">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Totodată trebuie subliniat că s</w:t>
            </w:r>
            <w:r w:rsidR="0093203C">
              <w:rPr>
                <w:rFonts w:ascii="Times New Roman" w:eastAsia="Batang" w:hAnsi="Times New Roman"/>
                <w:sz w:val="20"/>
                <w:szCs w:val="20"/>
                <w:lang w:eastAsia="ko-KR"/>
              </w:rPr>
              <w:t>unt cuno</w:t>
            </w:r>
            <w:r w:rsidR="007E4BB5">
              <w:rPr>
                <w:rFonts w:ascii="Times New Roman" w:eastAsia="Batang" w:hAnsi="Times New Roman"/>
                <w:sz w:val="20"/>
                <w:szCs w:val="20"/>
                <w:lang w:eastAsia="ko-KR"/>
              </w:rPr>
              <w:t>scute litigi</w:t>
            </w:r>
            <w:r w:rsidR="0093203C">
              <w:rPr>
                <w:rFonts w:ascii="Times New Roman" w:eastAsia="Batang" w:hAnsi="Times New Roman"/>
                <w:sz w:val="20"/>
                <w:szCs w:val="20"/>
                <w:lang w:eastAsia="ko-KR"/>
              </w:rPr>
              <w:t>i</w:t>
            </w:r>
            <w:r w:rsidR="007E4BB5">
              <w:rPr>
                <w:rFonts w:ascii="Times New Roman" w:eastAsia="Batang" w:hAnsi="Times New Roman"/>
                <w:sz w:val="20"/>
                <w:szCs w:val="20"/>
                <w:lang w:eastAsia="ko-KR"/>
              </w:rPr>
              <w:t>le existente între furnizorul acestui serviciu Hidroelectrica S.A. și ANRE cu privire la prețul reglementat aprobat.</w:t>
            </w:r>
            <w:r w:rsidR="0093203C">
              <w:rPr>
                <w:rFonts w:ascii="Times New Roman" w:eastAsia="Batang" w:hAnsi="Times New Roman"/>
                <w:sz w:val="20"/>
                <w:szCs w:val="20"/>
                <w:lang w:eastAsia="ko-KR"/>
              </w:rPr>
              <w:t xml:space="preserve"> Numeroasele litigii au determinat ANRE să insiste în finalizarea c</w:t>
            </w:r>
            <w:r>
              <w:rPr>
                <w:rFonts w:ascii="Times New Roman" w:eastAsia="Batang" w:hAnsi="Times New Roman"/>
                <w:sz w:val="20"/>
                <w:szCs w:val="20"/>
                <w:lang w:eastAsia="ko-KR"/>
              </w:rPr>
              <w:t>â</w:t>
            </w:r>
            <w:r w:rsidR="0093203C">
              <w:rPr>
                <w:rFonts w:ascii="Times New Roman" w:eastAsia="Batang" w:hAnsi="Times New Roman"/>
                <w:sz w:val="20"/>
                <w:szCs w:val="20"/>
                <w:lang w:eastAsia="ko-KR"/>
              </w:rPr>
              <w:t>t mai raidă de c</w:t>
            </w:r>
            <w:r w:rsidR="00ED1D43">
              <w:rPr>
                <w:rFonts w:ascii="Times New Roman" w:eastAsia="Batang" w:hAnsi="Times New Roman"/>
                <w:sz w:val="20"/>
                <w:szCs w:val="20"/>
                <w:lang w:eastAsia="ko-KR"/>
              </w:rPr>
              <w:t>ă</w:t>
            </w:r>
            <w:r w:rsidR="0093203C">
              <w:rPr>
                <w:rFonts w:ascii="Times New Roman" w:eastAsia="Batang" w:hAnsi="Times New Roman"/>
                <w:sz w:val="20"/>
                <w:szCs w:val="20"/>
                <w:lang w:eastAsia="ko-KR"/>
              </w:rPr>
              <w:t xml:space="preserve">tre OTS a investițiilor demarate </w:t>
            </w:r>
            <w:r w:rsidR="0093203C">
              <w:rPr>
                <w:rFonts w:ascii="Times New Roman" w:eastAsia="Batang" w:hAnsi="Times New Roman"/>
                <w:sz w:val="20"/>
                <w:szCs w:val="20"/>
                <w:lang w:eastAsia="ko-KR"/>
              </w:rPr>
              <w:lastRenderedPageBreak/>
              <w:t>încă din anul 2014.</w:t>
            </w:r>
          </w:p>
        </w:tc>
      </w:tr>
      <w:tr w:rsidR="006E296C" w:rsidRPr="004900B2" w:rsidTr="00AF1123">
        <w:trPr>
          <w:trHeight w:val="562"/>
        </w:trPr>
        <w:tc>
          <w:tcPr>
            <w:tcW w:w="473" w:type="dxa"/>
            <w:shd w:val="clear" w:color="auto" w:fill="auto"/>
          </w:tcPr>
          <w:p w:rsidR="006E296C" w:rsidRPr="004900B2" w:rsidRDefault="006E296C" w:rsidP="006E296C">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62" w:type="dxa"/>
          </w:tcPr>
          <w:p w:rsidR="006E296C" w:rsidRDefault="006E296C" w:rsidP="006E296C">
            <w:pPr>
              <w:spacing w:after="0" w:line="240" w:lineRule="auto"/>
              <w:jc w:val="both"/>
              <w:rPr>
                <w:rFonts w:ascii="Times New Roman" w:eastAsia="Batang" w:hAnsi="Times New Roman"/>
                <w:sz w:val="20"/>
                <w:szCs w:val="20"/>
                <w:lang w:eastAsia="ko-KR"/>
              </w:rPr>
            </w:pPr>
          </w:p>
        </w:tc>
        <w:tc>
          <w:tcPr>
            <w:tcW w:w="3060" w:type="dxa"/>
            <w:shd w:val="clear" w:color="auto" w:fill="auto"/>
          </w:tcPr>
          <w:p w:rsidR="006E296C" w:rsidRPr="00FE543A" w:rsidRDefault="006E296C" w:rsidP="006E296C">
            <w:pPr>
              <w:pStyle w:val="BodyText"/>
              <w:tabs>
                <w:tab w:val="left" w:pos="426"/>
                <w:tab w:val="left" w:pos="1170"/>
              </w:tabs>
              <w:autoSpaceDE/>
              <w:autoSpaceDN/>
              <w:spacing w:line="360" w:lineRule="auto"/>
              <w:jc w:val="both"/>
              <w:rPr>
                <w:sz w:val="20"/>
                <w:szCs w:val="20"/>
              </w:rPr>
            </w:pPr>
          </w:p>
        </w:tc>
        <w:tc>
          <w:tcPr>
            <w:tcW w:w="3420" w:type="dxa"/>
          </w:tcPr>
          <w:p w:rsidR="006E296C" w:rsidRPr="00EA3EF0" w:rsidRDefault="006E296C" w:rsidP="006E296C">
            <w:pPr>
              <w:pStyle w:val="ListParagraph"/>
              <w:spacing w:after="0" w:line="240" w:lineRule="auto"/>
              <w:ind w:left="-108"/>
              <w:jc w:val="both"/>
              <w:rPr>
                <w:rFonts w:ascii="Times New Roman" w:hAnsi="Times New Roman"/>
                <w:sz w:val="20"/>
                <w:szCs w:val="20"/>
              </w:rPr>
            </w:pPr>
            <w:r>
              <w:rPr>
                <w:rFonts w:ascii="Times New Roman" w:hAnsi="Times New Roman"/>
                <w:sz w:val="20"/>
                <w:szCs w:val="20"/>
              </w:rPr>
              <w:t xml:space="preserve"> (4) </w:t>
            </w:r>
            <w:r w:rsidRPr="00EA3EF0">
              <w:rPr>
                <w:rFonts w:ascii="Times New Roman" w:hAnsi="Times New Roman"/>
                <w:sz w:val="20"/>
                <w:szCs w:val="20"/>
              </w:rPr>
              <w:t xml:space="preserve">Corecția venitului datorată erorilor de prognoză a costului cu achiziția energiei electrice reactive necesare pentru reglajul tensiunii în RET se va determina similar corecției de venit aferentă costurilor controlabile cu personalul prevăzută la articolul 82. </w:t>
            </w:r>
          </w:p>
        </w:tc>
        <w:tc>
          <w:tcPr>
            <w:tcW w:w="3420" w:type="dxa"/>
            <w:shd w:val="clear" w:color="auto" w:fill="auto"/>
          </w:tcPr>
          <w:p w:rsidR="006E296C" w:rsidRPr="004F0747" w:rsidRDefault="006E296C" w:rsidP="006E296C">
            <w:pPr>
              <w:pStyle w:val="BodyTextIndent3"/>
              <w:spacing w:after="0" w:line="240" w:lineRule="auto"/>
              <w:ind w:left="0"/>
              <w:rPr>
                <w:rFonts w:ascii="Times New Roman" w:hAnsi="Times New Roman"/>
                <w:sz w:val="20"/>
                <w:szCs w:val="20"/>
              </w:rPr>
            </w:pPr>
            <w:r>
              <w:rPr>
                <w:rFonts w:ascii="Times New Roman" w:hAnsi="Times New Roman"/>
                <w:sz w:val="20"/>
                <w:szCs w:val="20"/>
              </w:rPr>
              <w:t>Idem art. 121 alin. (2)</w:t>
            </w:r>
          </w:p>
        </w:tc>
        <w:tc>
          <w:tcPr>
            <w:tcW w:w="2340" w:type="dxa"/>
            <w:shd w:val="clear" w:color="auto" w:fill="auto"/>
          </w:tcPr>
          <w:p w:rsidR="006E296C" w:rsidRPr="004F0747" w:rsidRDefault="006E296C" w:rsidP="006E296C">
            <w:pPr>
              <w:pStyle w:val="BodyTextIndent3"/>
              <w:spacing w:after="0" w:line="240" w:lineRule="auto"/>
              <w:ind w:left="0"/>
              <w:rPr>
                <w:rFonts w:ascii="Times New Roman" w:hAnsi="Times New Roman"/>
                <w:sz w:val="20"/>
                <w:szCs w:val="20"/>
              </w:rPr>
            </w:pPr>
            <w:r>
              <w:rPr>
                <w:rFonts w:ascii="Times New Roman" w:hAnsi="Times New Roman"/>
                <w:sz w:val="20"/>
                <w:szCs w:val="20"/>
              </w:rPr>
              <w:t>Idem art. 121 alin. (2)</w:t>
            </w:r>
          </w:p>
        </w:tc>
        <w:tc>
          <w:tcPr>
            <w:tcW w:w="2261" w:type="dxa"/>
          </w:tcPr>
          <w:p w:rsidR="006E296C" w:rsidRPr="004F0747" w:rsidRDefault="006E296C" w:rsidP="006E296C">
            <w:pPr>
              <w:pStyle w:val="BodyTextIndent3"/>
              <w:spacing w:after="0" w:line="240" w:lineRule="auto"/>
              <w:ind w:left="0"/>
              <w:rPr>
                <w:rFonts w:ascii="Times New Roman" w:hAnsi="Times New Roman"/>
                <w:sz w:val="20"/>
                <w:szCs w:val="20"/>
              </w:rPr>
            </w:pPr>
            <w:r>
              <w:rPr>
                <w:rFonts w:ascii="Times New Roman" w:hAnsi="Times New Roman"/>
                <w:sz w:val="20"/>
                <w:szCs w:val="20"/>
              </w:rPr>
              <w:t>Idem art. 121 alin. (2)</w:t>
            </w:r>
          </w:p>
        </w:tc>
      </w:tr>
    </w:tbl>
    <w:p w:rsidR="00A06DAA" w:rsidRPr="00A120AA" w:rsidRDefault="00A06DAA" w:rsidP="00576C73">
      <w:pPr>
        <w:spacing w:before="120" w:after="0" w:line="240" w:lineRule="auto"/>
        <w:jc w:val="both"/>
        <w:rPr>
          <w:rFonts w:ascii="Times New Roman" w:hAnsi="Times New Roman"/>
          <w:sz w:val="20"/>
          <w:szCs w:val="20"/>
        </w:rPr>
      </w:pPr>
    </w:p>
    <w:sectPr w:rsidR="00A06DAA" w:rsidRPr="00A120AA" w:rsidSect="00A120AA">
      <w:footerReference w:type="default" r:id="rId8"/>
      <w:pgSz w:w="16838" w:h="11906" w:orient="landscape"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6E6" w:rsidRDefault="005036E6" w:rsidP="00387F5B">
      <w:pPr>
        <w:spacing w:after="0" w:line="240" w:lineRule="auto"/>
      </w:pPr>
      <w:r>
        <w:separator/>
      </w:r>
    </w:p>
  </w:endnote>
  <w:endnote w:type="continuationSeparator" w:id="0">
    <w:p w:rsidR="005036E6" w:rsidRDefault="005036E6" w:rsidP="00387F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imesRomanR">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UpR">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027" w:rsidRDefault="002839B7">
    <w:pPr>
      <w:pStyle w:val="Footer"/>
      <w:jc w:val="right"/>
    </w:pPr>
    <w:r>
      <w:fldChar w:fldCharType="begin"/>
    </w:r>
    <w:r w:rsidR="004F0747">
      <w:instrText xml:space="preserve"> PAGE   \* MERGEFORMAT </w:instrText>
    </w:r>
    <w:r>
      <w:fldChar w:fldCharType="separate"/>
    </w:r>
    <w:r w:rsidR="004A423F">
      <w:rPr>
        <w:noProof/>
      </w:rPr>
      <w:t>14</w:t>
    </w:r>
    <w:r>
      <w:rPr>
        <w:noProof/>
      </w:rPr>
      <w:fldChar w:fldCharType="end"/>
    </w:r>
  </w:p>
  <w:p w:rsidR="001E6027" w:rsidRDefault="001E60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6E6" w:rsidRDefault="005036E6" w:rsidP="00387F5B">
      <w:pPr>
        <w:spacing w:after="0" w:line="240" w:lineRule="auto"/>
      </w:pPr>
      <w:r>
        <w:separator/>
      </w:r>
    </w:p>
  </w:footnote>
  <w:footnote w:type="continuationSeparator" w:id="0">
    <w:p w:rsidR="005036E6" w:rsidRDefault="005036E6" w:rsidP="00387F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D6666"/>
    <w:multiLevelType w:val="multilevel"/>
    <w:tmpl w:val="D80A74DE"/>
    <w:lvl w:ilvl="0">
      <w:start w:val="1"/>
      <w:numFmt w:val="decimal"/>
      <w:pStyle w:val="ListBullet"/>
      <w:lvlText w:val="%1."/>
      <w:lvlJc w:val="left"/>
      <w:pPr>
        <w:tabs>
          <w:tab w:val="num" w:pos="340"/>
        </w:tabs>
        <w:ind w:left="340" w:hanging="340"/>
      </w:pPr>
      <w:rPr>
        <w:rFonts w:ascii="Calibri" w:eastAsia="Times New Roman" w:hAnsi="Calibri" w:cs="Times New Roman"/>
        <w:color w:val="auto"/>
        <w:sz w:val="24"/>
        <w:szCs w:val="22"/>
      </w:rPr>
    </w:lvl>
    <w:lvl w:ilvl="1">
      <w:start w:val="1"/>
      <w:numFmt w:val="bullet"/>
      <w:pStyle w:val="ListBullet2"/>
      <w:lvlText w:val="-"/>
      <w:lvlJc w:val="left"/>
      <w:pPr>
        <w:tabs>
          <w:tab w:val="num" w:pos="680"/>
        </w:tabs>
        <w:ind w:left="680" w:hanging="340"/>
      </w:pPr>
      <w:rPr>
        <w:rFonts w:ascii="Arial" w:hAnsi="Arial" w:hint="default"/>
      </w:rPr>
    </w:lvl>
    <w:lvl w:ilvl="2">
      <w:start w:val="1"/>
      <w:numFmt w:val="bullet"/>
      <w:pStyle w:val="ListBullet3"/>
      <w:lvlText w:val="—"/>
      <w:lvlJc w:val="left"/>
      <w:pPr>
        <w:tabs>
          <w:tab w:val="num" w:pos="1020"/>
        </w:tabs>
        <w:ind w:left="1020" w:hanging="340"/>
      </w:pPr>
      <w:rPr>
        <w:rFonts w:ascii="Arial" w:hAnsi="Arial" w:hint="default"/>
        <w:color w:val="auto"/>
      </w:rPr>
    </w:lvl>
    <w:lvl w:ilvl="3">
      <w:start w:val="1"/>
      <w:numFmt w:val="bullet"/>
      <w:pStyle w:val="ListBullet4"/>
      <w:lvlText w:val="-"/>
      <w:lvlJc w:val="left"/>
      <w:pPr>
        <w:tabs>
          <w:tab w:val="num" w:pos="1360"/>
        </w:tabs>
        <w:ind w:left="1360" w:hanging="340"/>
      </w:pPr>
      <w:rPr>
        <w:rFonts w:ascii="Arial" w:hAnsi="Arial" w:hint="default"/>
      </w:rPr>
    </w:lvl>
    <w:lvl w:ilvl="4">
      <w:start w:val="1"/>
      <w:numFmt w:val="bullet"/>
      <w:pStyle w:val="ListBullet5"/>
      <w:lvlText w:val="—"/>
      <w:lvlJc w:val="left"/>
      <w:pPr>
        <w:tabs>
          <w:tab w:val="num" w:pos="1700"/>
        </w:tabs>
        <w:ind w:left="1700" w:hanging="340"/>
      </w:pPr>
      <w:rPr>
        <w:rFonts w:ascii="Arial" w:hAnsi="Arial" w:hint="default"/>
      </w:rPr>
    </w:lvl>
    <w:lvl w:ilvl="5">
      <w:start w:val="1"/>
      <w:numFmt w:val="bullet"/>
      <w:lvlText w:val="-"/>
      <w:lvlJc w:val="left"/>
      <w:pPr>
        <w:tabs>
          <w:tab w:val="num" w:pos="2040"/>
        </w:tabs>
        <w:ind w:left="2040" w:hanging="340"/>
      </w:pPr>
      <w:rPr>
        <w:rFonts w:ascii="Arial" w:hAnsi="Arial" w:hint="default"/>
      </w:rPr>
    </w:lvl>
    <w:lvl w:ilvl="6">
      <w:start w:val="1"/>
      <w:numFmt w:val="bullet"/>
      <w:lvlText w:val=""/>
      <w:lvlJc w:val="left"/>
      <w:pPr>
        <w:tabs>
          <w:tab w:val="num" w:pos="2380"/>
        </w:tabs>
        <w:ind w:left="2380" w:hanging="340"/>
      </w:pPr>
      <w:rPr>
        <w:rFonts w:ascii="Symbol" w:hAnsi="Symbol" w:hint="default"/>
      </w:rPr>
    </w:lvl>
    <w:lvl w:ilvl="7">
      <w:start w:val="1"/>
      <w:numFmt w:val="bullet"/>
      <w:lvlText w:val="o"/>
      <w:lvlJc w:val="left"/>
      <w:pPr>
        <w:tabs>
          <w:tab w:val="num" w:pos="2720"/>
        </w:tabs>
        <w:ind w:left="2720" w:hanging="340"/>
      </w:pPr>
      <w:rPr>
        <w:rFonts w:ascii="Courier New" w:hAnsi="Courier New" w:hint="default"/>
      </w:rPr>
    </w:lvl>
    <w:lvl w:ilvl="8">
      <w:start w:val="1"/>
      <w:numFmt w:val="bullet"/>
      <w:lvlText w:val=""/>
      <w:lvlJc w:val="left"/>
      <w:pPr>
        <w:tabs>
          <w:tab w:val="num" w:pos="3060"/>
        </w:tabs>
        <w:ind w:left="3060" w:hanging="340"/>
      </w:pPr>
      <w:rPr>
        <w:rFonts w:ascii="Wingdings" w:hAnsi="Wingdings" w:hint="default"/>
      </w:rPr>
    </w:lvl>
  </w:abstractNum>
  <w:abstractNum w:abstractNumId="1">
    <w:nsid w:val="05AC3C45"/>
    <w:multiLevelType w:val="hybridMultilevel"/>
    <w:tmpl w:val="0E7AC2EC"/>
    <w:lvl w:ilvl="0" w:tplc="C42A3AA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
    <w:nsid w:val="13EF69B3"/>
    <w:multiLevelType w:val="hybridMultilevel"/>
    <w:tmpl w:val="3DD6846E"/>
    <w:lvl w:ilvl="0" w:tplc="FB42B56A">
      <w:start w:val="1"/>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3">
    <w:nsid w:val="18883E36"/>
    <w:multiLevelType w:val="hybridMultilevel"/>
    <w:tmpl w:val="96860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0116C43"/>
    <w:multiLevelType w:val="hybridMultilevel"/>
    <w:tmpl w:val="126E7DB2"/>
    <w:lvl w:ilvl="0" w:tplc="BE46F46A">
      <w:start w:val="1"/>
      <w:numFmt w:val="decimal"/>
      <w:lvlText w:val="%1."/>
      <w:lvlJc w:val="left"/>
      <w:pPr>
        <w:ind w:left="162" w:hanging="360"/>
      </w:pPr>
      <w:rPr>
        <w:rFonts w:hint="default"/>
        <w:b/>
      </w:rPr>
    </w:lvl>
    <w:lvl w:ilvl="1" w:tplc="04090019" w:tentative="1">
      <w:start w:val="1"/>
      <w:numFmt w:val="lowerLetter"/>
      <w:lvlText w:val="%2."/>
      <w:lvlJc w:val="left"/>
      <w:pPr>
        <w:ind w:left="882" w:hanging="360"/>
      </w:pPr>
    </w:lvl>
    <w:lvl w:ilvl="2" w:tplc="0409001B" w:tentative="1">
      <w:start w:val="1"/>
      <w:numFmt w:val="lowerRoman"/>
      <w:lvlText w:val="%3."/>
      <w:lvlJc w:val="right"/>
      <w:pPr>
        <w:ind w:left="1602" w:hanging="180"/>
      </w:pPr>
    </w:lvl>
    <w:lvl w:ilvl="3" w:tplc="0409000F" w:tentative="1">
      <w:start w:val="1"/>
      <w:numFmt w:val="decimal"/>
      <w:lvlText w:val="%4."/>
      <w:lvlJc w:val="left"/>
      <w:pPr>
        <w:ind w:left="2322" w:hanging="360"/>
      </w:pPr>
    </w:lvl>
    <w:lvl w:ilvl="4" w:tplc="04090019" w:tentative="1">
      <w:start w:val="1"/>
      <w:numFmt w:val="lowerLetter"/>
      <w:lvlText w:val="%5."/>
      <w:lvlJc w:val="left"/>
      <w:pPr>
        <w:ind w:left="3042" w:hanging="360"/>
      </w:pPr>
    </w:lvl>
    <w:lvl w:ilvl="5" w:tplc="0409001B" w:tentative="1">
      <w:start w:val="1"/>
      <w:numFmt w:val="lowerRoman"/>
      <w:lvlText w:val="%6."/>
      <w:lvlJc w:val="right"/>
      <w:pPr>
        <w:ind w:left="3762" w:hanging="180"/>
      </w:pPr>
    </w:lvl>
    <w:lvl w:ilvl="6" w:tplc="0409000F" w:tentative="1">
      <w:start w:val="1"/>
      <w:numFmt w:val="decimal"/>
      <w:lvlText w:val="%7."/>
      <w:lvlJc w:val="left"/>
      <w:pPr>
        <w:ind w:left="4482" w:hanging="360"/>
      </w:pPr>
    </w:lvl>
    <w:lvl w:ilvl="7" w:tplc="04090019" w:tentative="1">
      <w:start w:val="1"/>
      <w:numFmt w:val="lowerLetter"/>
      <w:lvlText w:val="%8."/>
      <w:lvlJc w:val="left"/>
      <w:pPr>
        <w:ind w:left="5202" w:hanging="360"/>
      </w:pPr>
    </w:lvl>
    <w:lvl w:ilvl="8" w:tplc="0409001B" w:tentative="1">
      <w:start w:val="1"/>
      <w:numFmt w:val="lowerRoman"/>
      <w:lvlText w:val="%9."/>
      <w:lvlJc w:val="right"/>
      <w:pPr>
        <w:ind w:left="5922" w:hanging="180"/>
      </w:pPr>
    </w:lvl>
  </w:abstractNum>
  <w:abstractNum w:abstractNumId="5">
    <w:nsid w:val="2E1512AE"/>
    <w:multiLevelType w:val="hybridMultilevel"/>
    <w:tmpl w:val="1FAC62FA"/>
    <w:lvl w:ilvl="0" w:tplc="B9AED356">
      <w:start w:val="1"/>
      <w:numFmt w:val="decimal"/>
      <w:lvlText w:val="%1."/>
      <w:lvlJc w:val="left"/>
      <w:pPr>
        <w:ind w:left="252" w:hanging="360"/>
      </w:pPr>
      <w:rPr>
        <w:rFonts w:hint="default"/>
        <w:b/>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6">
    <w:nsid w:val="330864FE"/>
    <w:multiLevelType w:val="hybridMultilevel"/>
    <w:tmpl w:val="3028DE98"/>
    <w:lvl w:ilvl="0" w:tplc="A9883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5148B0"/>
    <w:multiLevelType w:val="hybridMultilevel"/>
    <w:tmpl w:val="B2D89AE0"/>
    <w:lvl w:ilvl="0" w:tplc="1806EE2C">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53437B7"/>
    <w:multiLevelType w:val="hybridMultilevel"/>
    <w:tmpl w:val="C99036F8"/>
    <w:lvl w:ilvl="0" w:tplc="A8BEF5FE">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nsid w:val="358E4FFF"/>
    <w:multiLevelType w:val="hybridMultilevel"/>
    <w:tmpl w:val="8FEE2292"/>
    <w:lvl w:ilvl="0" w:tplc="FB42B56A">
      <w:start w:val="1"/>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0">
    <w:nsid w:val="3FE0454E"/>
    <w:multiLevelType w:val="hybridMultilevel"/>
    <w:tmpl w:val="F59C18AA"/>
    <w:lvl w:ilvl="0" w:tplc="A38805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760A7C"/>
    <w:multiLevelType w:val="hybridMultilevel"/>
    <w:tmpl w:val="8ACACCBE"/>
    <w:lvl w:ilvl="0" w:tplc="D5BE97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40233B"/>
    <w:multiLevelType w:val="hybridMultilevel"/>
    <w:tmpl w:val="5E52CE72"/>
    <w:lvl w:ilvl="0" w:tplc="FB42B56A">
      <w:start w:val="1"/>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3">
    <w:nsid w:val="593F0078"/>
    <w:multiLevelType w:val="hybridMultilevel"/>
    <w:tmpl w:val="7CF8B81E"/>
    <w:lvl w:ilvl="0" w:tplc="D71A78B6">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4">
    <w:nsid w:val="60F863E4"/>
    <w:multiLevelType w:val="hybridMultilevel"/>
    <w:tmpl w:val="D02EE94A"/>
    <w:lvl w:ilvl="0" w:tplc="FB42B56A">
      <w:start w:val="1"/>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5">
    <w:nsid w:val="69B63415"/>
    <w:multiLevelType w:val="hybridMultilevel"/>
    <w:tmpl w:val="52EE0610"/>
    <w:lvl w:ilvl="0" w:tplc="D580407C">
      <w:start w:val="4"/>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nsid w:val="73B64CEE"/>
    <w:multiLevelType w:val="singleLevel"/>
    <w:tmpl w:val="2BFA80BA"/>
    <w:lvl w:ilvl="0">
      <w:numFmt w:val="bullet"/>
      <w:pStyle w:val="Bodytext-Bullet"/>
      <w:lvlText w:val=""/>
      <w:lvlJc w:val="left"/>
      <w:pPr>
        <w:tabs>
          <w:tab w:val="num" w:pos="360"/>
        </w:tabs>
        <w:ind w:left="360" w:hanging="360"/>
      </w:pPr>
      <w:rPr>
        <w:rFonts w:ascii="Symbol" w:hAnsi="Symbol" w:hint="default"/>
      </w:rPr>
    </w:lvl>
  </w:abstractNum>
  <w:abstractNum w:abstractNumId="17">
    <w:nsid w:val="76B84ACD"/>
    <w:multiLevelType w:val="multilevel"/>
    <w:tmpl w:val="DDE071FE"/>
    <w:lvl w:ilvl="0">
      <w:start w:val="8"/>
      <w:numFmt w:val="decimal"/>
      <w:lvlText w:val="%1."/>
      <w:lvlJc w:val="left"/>
      <w:pPr>
        <w:tabs>
          <w:tab w:val="num" w:pos="720"/>
        </w:tabs>
        <w:ind w:left="720" w:hanging="360"/>
      </w:pPr>
      <w:rPr>
        <w:rFonts w:hint="default"/>
      </w:rPr>
    </w:lvl>
    <w:lvl w:ilvl="1">
      <w:start w:val="1"/>
      <w:numFmt w:val="lowerRoman"/>
      <w:lvlText w:val="%2."/>
      <w:lvlJc w:val="right"/>
      <w:pPr>
        <w:tabs>
          <w:tab w:val="num" w:pos="1440"/>
        </w:tabs>
        <w:ind w:left="1440" w:hanging="360"/>
      </w:pPr>
      <w:rPr>
        <w:rFonts w:hint="default"/>
      </w:rPr>
    </w:lvl>
    <w:lvl w:ilvl="2">
      <w:start w:val="2"/>
      <w:numFmt w:val="decimal"/>
      <w:lvlText w:val="(%3)"/>
      <w:lvlJc w:val="left"/>
      <w:pPr>
        <w:tabs>
          <w:tab w:val="num" w:pos="2771"/>
        </w:tabs>
        <w:ind w:left="2771"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7AF1452A"/>
    <w:multiLevelType w:val="hybridMultilevel"/>
    <w:tmpl w:val="7FFECE48"/>
    <w:lvl w:ilvl="0" w:tplc="FB42B56A">
      <w:start w:val="1"/>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9">
    <w:nsid w:val="7B025982"/>
    <w:multiLevelType w:val="hybridMultilevel"/>
    <w:tmpl w:val="8DB8665E"/>
    <w:lvl w:ilvl="0" w:tplc="10E0DC2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7"/>
  </w:num>
  <w:num w:numId="4">
    <w:abstractNumId w:val="17"/>
  </w:num>
  <w:num w:numId="5">
    <w:abstractNumId w:val="2"/>
  </w:num>
  <w:num w:numId="6">
    <w:abstractNumId w:val="12"/>
  </w:num>
  <w:num w:numId="7">
    <w:abstractNumId w:val="9"/>
  </w:num>
  <w:num w:numId="8">
    <w:abstractNumId w:val="18"/>
  </w:num>
  <w:num w:numId="9">
    <w:abstractNumId w:val="14"/>
  </w:num>
  <w:num w:numId="10">
    <w:abstractNumId w:val="15"/>
  </w:num>
  <w:num w:numId="11">
    <w:abstractNumId w:val="19"/>
  </w:num>
  <w:num w:numId="12">
    <w:abstractNumId w:val="10"/>
  </w:num>
  <w:num w:numId="13">
    <w:abstractNumId w:val="11"/>
  </w:num>
  <w:num w:numId="14">
    <w:abstractNumId w:val="6"/>
  </w:num>
  <w:num w:numId="15">
    <w:abstractNumId w:val="1"/>
  </w:num>
  <w:num w:numId="16">
    <w:abstractNumId w:val="13"/>
  </w:num>
  <w:num w:numId="17">
    <w:abstractNumId w:val="5"/>
  </w:num>
  <w:num w:numId="18">
    <w:abstractNumId w:val="4"/>
  </w:num>
  <w:num w:numId="19">
    <w:abstractNumId w:val="8"/>
  </w:num>
  <w:num w:numId="20">
    <w:abstractNumId w:val="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rsids>
    <w:rsidRoot w:val="00984261"/>
    <w:rsid w:val="00000298"/>
    <w:rsid w:val="00001D71"/>
    <w:rsid w:val="00002D28"/>
    <w:rsid w:val="000038E7"/>
    <w:rsid w:val="00004004"/>
    <w:rsid w:val="00004208"/>
    <w:rsid w:val="00005148"/>
    <w:rsid w:val="00005812"/>
    <w:rsid w:val="00006C93"/>
    <w:rsid w:val="000071F5"/>
    <w:rsid w:val="00011F39"/>
    <w:rsid w:val="00013AE9"/>
    <w:rsid w:val="00013E8D"/>
    <w:rsid w:val="00015748"/>
    <w:rsid w:val="0001615C"/>
    <w:rsid w:val="00017A24"/>
    <w:rsid w:val="0002254C"/>
    <w:rsid w:val="000226D3"/>
    <w:rsid w:val="00022BB2"/>
    <w:rsid w:val="00023578"/>
    <w:rsid w:val="00025B95"/>
    <w:rsid w:val="00025FFC"/>
    <w:rsid w:val="00026ADB"/>
    <w:rsid w:val="0002794C"/>
    <w:rsid w:val="00030B8A"/>
    <w:rsid w:val="00030BCA"/>
    <w:rsid w:val="00031042"/>
    <w:rsid w:val="000323C5"/>
    <w:rsid w:val="00032BA4"/>
    <w:rsid w:val="000361E3"/>
    <w:rsid w:val="0003660A"/>
    <w:rsid w:val="00037C0A"/>
    <w:rsid w:val="00042902"/>
    <w:rsid w:val="00043554"/>
    <w:rsid w:val="00044112"/>
    <w:rsid w:val="000443F5"/>
    <w:rsid w:val="00044AA0"/>
    <w:rsid w:val="00044DBE"/>
    <w:rsid w:val="000458B5"/>
    <w:rsid w:val="0004727F"/>
    <w:rsid w:val="0005165E"/>
    <w:rsid w:val="00051A6C"/>
    <w:rsid w:val="00051EA6"/>
    <w:rsid w:val="000523C6"/>
    <w:rsid w:val="00054D2D"/>
    <w:rsid w:val="00056FE4"/>
    <w:rsid w:val="000606D9"/>
    <w:rsid w:val="000607B6"/>
    <w:rsid w:val="00061BC7"/>
    <w:rsid w:val="00061BCC"/>
    <w:rsid w:val="00061F89"/>
    <w:rsid w:val="00063031"/>
    <w:rsid w:val="00064FA0"/>
    <w:rsid w:val="00065EB6"/>
    <w:rsid w:val="000661D7"/>
    <w:rsid w:val="0006695E"/>
    <w:rsid w:val="000676BB"/>
    <w:rsid w:val="000702C8"/>
    <w:rsid w:val="000705AB"/>
    <w:rsid w:val="00072491"/>
    <w:rsid w:val="00072E04"/>
    <w:rsid w:val="00073AFD"/>
    <w:rsid w:val="00074D3D"/>
    <w:rsid w:val="000754BB"/>
    <w:rsid w:val="00075914"/>
    <w:rsid w:val="000812BE"/>
    <w:rsid w:val="0008154D"/>
    <w:rsid w:val="00081FF4"/>
    <w:rsid w:val="00082819"/>
    <w:rsid w:val="000859A2"/>
    <w:rsid w:val="00090787"/>
    <w:rsid w:val="00091C79"/>
    <w:rsid w:val="00094B7F"/>
    <w:rsid w:val="000952D7"/>
    <w:rsid w:val="00096CE8"/>
    <w:rsid w:val="0009749F"/>
    <w:rsid w:val="000A3B86"/>
    <w:rsid w:val="000A4429"/>
    <w:rsid w:val="000A5957"/>
    <w:rsid w:val="000A5A14"/>
    <w:rsid w:val="000B0C5B"/>
    <w:rsid w:val="000B175E"/>
    <w:rsid w:val="000B3939"/>
    <w:rsid w:val="000B3C46"/>
    <w:rsid w:val="000B3C7D"/>
    <w:rsid w:val="000B4910"/>
    <w:rsid w:val="000B5C8C"/>
    <w:rsid w:val="000B749B"/>
    <w:rsid w:val="000C3180"/>
    <w:rsid w:val="000C393C"/>
    <w:rsid w:val="000C6731"/>
    <w:rsid w:val="000C70CC"/>
    <w:rsid w:val="000C7199"/>
    <w:rsid w:val="000C7542"/>
    <w:rsid w:val="000D1C62"/>
    <w:rsid w:val="000D46EE"/>
    <w:rsid w:val="000D503F"/>
    <w:rsid w:val="000D762F"/>
    <w:rsid w:val="000E1775"/>
    <w:rsid w:val="000E3CD3"/>
    <w:rsid w:val="000E42C3"/>
    <w:rsid w:val="000E5E6E"/>
    <w:rsid w:val="000F0C4B"/>
    <w:rsid w:val="000F267D"/>
    <w:rsid w:val="000F4A4F"/>
    <w:rsid w:val="000F5FD2"/>
    <w:rsid w:val="000F6506"/>
    <w:rsid w:val="000F6F6C"/>
    <w:rsid w:val="00103A50"/>
    <w:rsid w:val="001048BC"/>
    <w:rsid w:val="001063FF"/>
    <w:rsid w:val="00106950"/>
    <w:rsid w:val="00107A36"/>
    <w:rsid w:val="00110151"/>
    <w:rsid w:val="0011072A"/>
    <w:rsid w:val="00111255"/>
    <w:rsid w:val="00112CC2"/>
    <w:rsid w:val="00113771"/>
    <w:rsid w:val="00113C45"/>
    <w:rsid w:val="00115923"/>
    <w:rsid w:val="00115C7A"/>
    <w:rsid w:val="00116215"/>
    <w:rsid w:val="0011743E"/>
    <w:rsid w:val="001175A1"/>
    <w:rsid w:val="001206FD"/>
    <w:rsid w:val="00120823"/>
    <w:rsid w:val="00121198"/>
    <w:rsid w:val="0012148E"/>
    <w:rsid w:val="00123426"/>
    <w:rsid w:val="00126080"/>
    <w:rsid w:val="0012701B"/>
    <w:rsid w:val="001310C9"/>
    <w:rsid w:val="0013420C"/>
    <w:rsid w:val="00134345"/>
    <w:rsid w:val="00134860"/>
    <w:rsid w:val="00134D91"/>
    <w:rsid w:val="00136A13"/>
    <w:rsid w:val="00136C37"/>
    <w:rsid w:val="00137626"/>
    <w:rsid w:val="00137C82"/>
    <w:rsid w:val="00140A80"/>
    <w:rsid w:val="00144EA2"/>
    <w:rsid w:val="001453B1"/>
    <w:rsid w:val="0014616E"/>
    <w:rsid w:val="00146D5A"/>
    <w:rsid w:val="00152D02"/>
    <w:rsid w:val="001561BC"/>
    <w:rsid w:val="001563B6"/>
    <w:rsid w:val="0015718C"/>
    <w:rsid w:val="00157431"/>
    <w:rsid w:val="00157B05"/>
    <w:rsid w:val="00161379"/>
    <w:rsid w:val="00162E2C"/>
    <w:rsid w:val="00164BFF"/>
    <w:rsid w:val="0016610D"/>
    <w:rsid w:val="0016730A"/>
    <w:rsid w:val="001674C7"/>
    <w:rsid w:val="00170085"/>
    <w:rsid w:val="001708E0"/>
    <w:rsid w:val="00170AEE"/>
    <w:rsid w:val="00172531"/>
    <w:rsid w:val="00172A56"/>
    <w:rsid w:val="00174A52"/>
    <w:rsid w:val="001760E6"/>
    <w:rsid w:val="00176B04"/>
    <w:rsid w:val="00180A6A"/>
    <w:rsid w:val="001828FE"/>
    <w:rsid w:val="0018493C"/>
    <w:rsid w:val="001859D3"/>
    <w:rsid w:val="00186930"/>
    <w:rsid w:val="00186CD3"/>
    <w:rsid w:val="0018716E"/>
    <w:rsid w:val="00187545"/>
    <w:rsid w:val="0019402F"/>
    <w:rsid w:val="00194BAF"/>
    <w:rsid w:val="00194E6F"/>
    <w:rsid w:val="001957B8"/>
    <w:rsid w:val="001958F1"/>
    <w:rsid w:val="00195BEF"/>
    <w:rsid w:val="00195C5B"/>
    <w:rsid w:val="00197D58"/>
    <w:rsid w:val="001A1675"/>
    <w:rsid w:val="001A364C"/>
    <w:rsid w:val="001A7FA8"/>
    <w:rsid w:val="001B05CB"/>
    <w:rsid w:val="001B0DE1"/>
    <w:rsid w:val="001B1483"/>
    <w:rsid w:val="001B1933"/>
    <w:rsid w:val="001B1F1A"/>
    <w:rsid w:val="001B2D8F"/>
    <w:rsid w:val="001B3214"/>
    <w:rsid w:val="001B32B4"/>
    <w:rsid w:val="001B611A"/>
    <w:rsid w:val="001B6B4B"/>
    <w:rsid w:val="001B7E6A"/>
    <w:rsid w:val="001C07E6"/>
    <w:rsid w:val="001C08DD"/>
    <w:rsid w:val="001C42C5"/>
    <w:rsid w:val="001C5D6B"/>
    <w:rsid w:val="001C6C4E"/>
    <w:rsid w:val="001C7237"/>
    <w:rsid w:val="001C7BE4"/>
    <w:rsid w:val="001D0184"/>
    <w:rsid w:val="001D056D"/>
    <w:rsid w:val="001D222F"/>
    <w:rsid w:val="001D38C6"/>
    <w:rsid w:val="001D3CD2"/>
    <w:rsid w:val="001D5EB0"/>
    <w:rsid w:val="001D6621"/>
    <w:rsid w:val="001D792B"/>
    <w:rsid w:val="001D7E1D"/>
    <w:rsid w:val="001E167E"/>
    <w:rsid w:val="001E16D7"/>
    <w:rsid w:val="001E5E23"/>
    <w:rsid w:val="001E6027"/>
    <w:rsid w:val="001E7555"/>
    <w:rsid w:val="001E7CD1"/>
    <w:rsid w:val="001F1715"/>
    <w:rsid w:val="001F4194"/>
    <w:rsid w:val="001F608C"/>
    <w:rsid w:val="0020067E"/>
    <w:rsid w:val="0020116F"/>
    <w:rsid w:val="002014EC"/>
    <w:rsid w:val="00202586"/>
    <w:rsid w:val="00202CC4"/>
    <w:rsid w:val="00202E98"/>
    <w:rsid w:val="0020313F"/>
    <w:rsid w:val="00205AE3"/>
    <w:rsid w:val="0020624D"/>
    <w:rsid w:val="00207EF6"/>
    <w:rsid w:val="00210473"/>
    <w:rsid w:val="002108A3"/>
    <w:rsid w:val="00211B8F"/>
    <w:rsid w:val="00214CA7"/>
    <w:rsid w:val="00215851"/>
    <w:rsid w:val="00215AD5"/>
    <w:rsid w:val="0021791D"/>
    <w:rsid w:val="00220108"/>
    <w:rsid w:val="00220618"/>
    <w:rsid w:val="002208F9"/>
    <w:rsid w:val="00220DF0"/>
    <w:rsid w:val="00221440"/>
    <w:rsid w:val="0022177F"/>
    <w:rsid w:val="002227D1"/>
    <w:rsid w:val="002227E9"/>
    <w:rsid w:val="00222F0E"/>
    <w:rsid w:val="00223BB9"/>
    <w:rsid w:val="00224D7C"/>
    <w:rsid w:val="00224DCE"/>
    <w:rsid w:val="00225F7F"/>
    <w:rsid w:val="00226DD9"/>
    <w:rsid w:val="002271BE"/>
    <w:rsid w:val="00227F2C"/>
    <w:rsid w:val="00230324"/>
    <w:rsid w:val="00231890"/>
    <w:rsid w:val="00233CB0"/>
    <w:rsid w:val="0023530A"/>
    <w:rsid w:val="00235FAF"/>
    <w:rsid w:val="00236E8D"/>
    <w:rsid w:val="00237561"/>
    <w:rsid w:val="00237C8F"/>
    <w:rsid w:val="00241AEE"/>
    <w:rsid w:val="00241B27"/>
    <w:rsid w:val="0024383F"/>
    <w:rsid w:val="002441C4"/>
    <w:rsid w:val="002447F4"/>
    <w:rsid w:val="0024757F"/>
    <w:rsid w:val="00250BD7"/>
    <w:rsid w:val="00251B67"/>
    <w:rsid w:val="00252DD2"/>
    <w:rsid w:val="00255197"/>
    <w:rsid w:val="00257FE0"/>
    <w:rsid w:val="00260688"/>
    <w:rsid w:val="002607AB"/>
    <w:rsid w:val="00260A69"/>
    <w:rsid w:val="0026104A"/>
    <w:rsid w:val="00261FB9"/>
    <w:rsid w:val="00265A3C"/>
    <w:rsid w:val="00267BD6"/>
    <w:rsid w:val="0027058E"/>
    <w:rsid w:val="00270B80"/>
    <w:rsid w:val="00271473"/>
    <w:rsid w:val="00271C79"/>
    <w:rsid w:val="00271DBF"/>
    <w:rsid w:val="00273D09"/>
    <w:rsid w:val="00275C5D"/>
    <w:rsid w:val="0027675F"/>
    <w:rsid w:val="00276E2B"/>
    <w:rsid w:val="0027755D"/>
    <w:rsid w:val="002812F6"/>
    <w:rsid w:val="00282A73"/>
    <w:rsid w:val="0028333F"/>
    <w:rsid w:val="002839B7"/>
    <w:rsid w:val="00284E7C"/>
    <w:rsid w:val="002868CF"/>
    <w:rsid w:val="00290003"/>
    <w:rsid w:val="002925EE"/>
    <w:rsid w:val="0029318A"/>
    <w:rsid w:val="002931BF"/>
    <w:rsid w:val="00293CAE"/>
    <w:rsid w:val="00293D5B"/>
    <w:rsid w:val="00295D2B"/>
    <w:rsid w:val="00296FCD"/>
    <w:rsid w:val="00297C83"/>
    <w:rsid w:val="002A0153"/>
    <w:rsid w:val="002A12D7"/>
    <w:rsid w:val="002A15F5"/>
    <w:rsid w:val="002A170C"/>
    <w:rsid w:val="002A256A"/>
    <w:rsid w:val="002A6DE4"/>
    <w:rsid w:val="002A7271"/>
    <w:rsid w:val="002A7935"/>
    <w:rsid w:val="002B26F4"/>
    <w:rsid w:val="002B2D15"/>
    <w:rsid w:val="002B2F95"/>
    <w:rsid w:val="002B315A"/>
    <w:rsid w:val="002B75FD"/>
    <w:rsid w:val="002C0218"/>
    <w:rsid w:val="002C0E2A"/>
    <w:rsid w:val="002C11D1"/>
    <w:rsid w:val="002C121C"/>
    <w:rsid w:val="002C2CC0"/>
    <w:rsid w:val="002C6430"/>
    <w:rsid w:val="002C71A1"/>
    <w:rsid w:val="002C772A"/>
    <w:rsid w:val="002C77DC"/>
    <w:rsid w:val="002C7B6D"/>
    <w:rsid w:val="002D10B7"/>
    <w:rsid w:val="002D15A9"/>
    <w:rsid w:val="002D1BE5"/>
    <w:rsid w:val="002D2A15"/>
    <w:rsid w:val="002D2E25"/>
    <w:rsid w:val="002D2ED9"/>
    <w:rsid w:val="002D46AD"/>
    <w:rsid w:val="002D60BF"/>
    <w:rsid w:val="002D6462"/>
    <w:rsid w:val="002D678B"/>
    <w:rsid w:val="002D7EB8"/>
    <w:rsid w:val="002E08A1"/>
    <w:rsid w:val="002E1F52"/>
    <w:rsid w:val="002E4F9B"/>
    <w:rsid w:val="002F0212"/>
    <w:rsid w:val="002F183E"/>
    <w:rsid w:val="002F215D"/>
    <w:rsid w:val="002F3068"/>
    <w:rsid w:val="002F703F"/>
    <w:rsid w:val="00300A71"/>
    <w:rsid w:val="003020F5"/>
    <w:rsid w:val="00302814"/>
    <w:rsid w:val="0030408C"/>
    <w:rsid w:val="00304462"/>
    <w:rsid w:val="00304D8E"/>
    <w:rsid w:val="00306C42"/>
    <w:rsid w:val="003079FA"/>
    <w:rsid w:val="00310941"/>
    <w:rsid w:val="003109F2"/>
    <w:rsid w:val="00312637"/>
    <w:rsid w:val="00312DEA"/>
    <w:rsid w:val="0031408E"/>
    <w:rsid w:val="00314B3A"/>
    <w:rsid w:val="0031788C"/>
    <w:rsid w:val="00321C4B"/>
    <w:rsid w:val="003228DA"/>
    <w:rsid w:val="0032379A"/>
    <w:rsid w:val="0033077B"/>
    <w:rsid w:val="00331320"/>
    <w:rsid w:val="00340AB8"/>
    <w:rsid w:val="00342A4A"/>
    <w:rsid w:val="003432AD"/>
    <w:rsid w:val="00350B85"/>
    <w:rsid w:val="00351077"/>
    <w:rsid w:val="003524D2"/>
    <w:rsid w:val="003539A1"/>
    <w:rsid w:val="0035426E"/>
    <w:rsid w:val="00355F3F"/>
    <w:rsid w:val="00356282"/>
    <w:rsid w:val="003577C8"/>
    <w:rsid w:val="00365974"/>
    <w:rsid w:val="00365C8E"/>
    <w:rsid w:val="00370821"/>
    <w:rsid w:val="003713B1"/>
    <w:rsid w:val="00372D03"/>
    <w:rsid w:val="00374919"/>
    <w:rsid w:val="00376F08"/>
    <w:rsid w:val="0038285C"/>
    <w:rsid w:val="00383608"/>
    <w:rsid w:val="00383CE3"/>
    <w:rsid w:val="00384A73"/>
    <w:rsid w:val="00387B82"/>
    <w:rsid w:val="00387F5B"/>
    <w:rsid w:val="00390285"/>
    <w:rsid w:val="00390DF3"/>
    <w:rsid w:val="003925B4"/>
    <w:rsid w:val="00392825"/>
    <w:rsid w:val="003940D4"/>
    <w:rsid w:val="0039690A"/>
    <w:rsid w:val="00396BDD"/>
    <w:rsid w:val="003A2571"/>
    <w:rsid w:val="003A3434"/>
    <w:rsid w:val="003A6C10"/>
    <w:rsid w:val="003B0AF8"/>
    <w:rsid w:val="003B1A83"/>
    <w:rsid w:val="003B21B4"/>
    <w:rsid w:val="003B4A96"/>
    <w:rsid w:val="003B4BFF"/>
    <w:rsid w:val="003B5DD1"/>
    <w:rsid w:val="003B5E4B"/>
    <w:rsid w:val="003B742A"/>
    <w:rsid w:val="003C049F"/>
    <w:rsid w:val="003C05E3"/>
    <w:rsid w:val="003C09F7"/>
    <w:rsid w:val="003C21FC"/>
    <w:rsid w:val="003C3675"/>
    <w:rsid w:val="003C3743"/>
    <w:rsid w:val="003C52FC"/>
    <w:rsid w:val="003C69B8"/>
    <w:rsid w:val="003C6CCB"/>
    <w:rsid w:val="003C6D85"/>
    <w:rsid w:val="003C6DCB"/>
    <w:rsid w:val="003D2F61"/>
    <w:rsid w:val="003D6A3B"/>
    <w:rsid w:val="003D7280"/>
    <w:rsid w:val="003D789E"/>
    <w:rsid w:val="003E05EF"/>
    <w:rsid w:val="003E14D8"/>
    <w:rsid w:val="003E1885"/>
    <w:rsid w:val="003E1B01"/>
    <w:rsid w:val="003E20AC"/>
    <w:rsid w:val="003E3795"/>
    <w:rsid w:val="003E4DA7"/>
    <w:rsid w:val="003E5231"/>
    <w:rsid w:val="003E6271"/>
    <w:rsid w:val="003E6C46"/>
    <w:rsid w:val="003F1D1E"/>
    <w:rsid w:val="003F2696"/>
    <w:rsid w:val="003F45F3"/>
    <w:rsid w:val="003F5D32"/>
    <w:rsid w:val="00400F90"/>
    <w:rsid w:val="00403A8E"/>
    <w:rsid w:val="0040407A"/>
    <w:rsid w:val="00405C47"/>
    <w:rsid w:val="00405E0C"/>
    <w:rsid w:val="004064A1"/>
    <w:rsid w:val="00407CDD"/>
    <w:rsid w:val="00407D80"/>
    <w:rsid w:val="004126AB"/>
    <w:rsid w:val="004130A8"/>
    <w:rsid w:val="00413B43"/>
    <w:rsid w:val="004160E3"/>
    <w:rsid w:val="0041738A"/>
    <w:rsid w:val="004174CB"/>
    <w:rsid w:val="0041784B"/>
    <w:rsid w:val="004178E5"/>
    <w:rsid w:val="00420492"/>
    <w:rsid w:val="004217C5"/>
    <w:rsid w:val="00421808"/>
    <w:rsid w:val="0042323E"/>
    <w:rsid w:val="00426A03"/>
    <w:rsid w:val="00431F73"/>
    <w:rsid w:val="0043214E"/>
    <w:rsid w:val="00433470"/>
    <w:rsid w:val="0043353B"/>
    <w:rsid w:val="00433D73"/>
    <w:rsid w:val="00433FAA"/>
    <w:rsid w:val="00434128"/>
    <w:rsid w:val="00434886"/>
    <w:rsid w:val="00436E62"/>
    <w:rsid w:val="004371F3"/>
    <w:rsid w:val="004402C3"/>
    <w:rsid w:val="004409A9"/>
    <w:rsid w:val="00440EE1"/>
    <w:rsid w:val="00441698"/>
    <w:rsid w:val="004422C1"/>
    <w:rsid w:val="0044363B"/>
    <w:rsid w:val="00443B63"/>
    <w:rsid w:val="00444091"/>
    <w:rsid w:val="00444251"/>
    <w:rsid w:val="00444928"/>
    <w:rsid w:val="00445369"/>
    <w:rsid w:val="00445750"/>
    <w:rsid w:val="00446CC8"/>
    <w:rsid w:val="00447489"/>
    <w:rsid w:val="004479AA"/>
    <w:rsid w:val="00447B88"/>
    <w:rsid w:val="00454586"/>
    <w:rsid w:val="004562DE"/>
    <w:rsid w:val="004566D0"/>
    <w:rsid w:val="00461211"/>
    <w:rsid w:val="00464B28"/>
    <w:rsid w:val="00465572"/>
    <w:rsid w:val="00466D69"/>
    <w:rsid w:val="00470814"/>
    <w:rsid w:val="00471524"/>
    <w:rsid w:val="00471BEF"/>
    <w:rsid w:val="0047365B"/>
    <w:rsid w:val="004750F3"/>
    <w:rsid w:val="00475AB4"/>
    <w:rsid w:val="00475B03"/>
    <w:rsid w:val="004760FB"/>
    <w:rsid w:val="00480A96"/>
    <w:rsid w:val="00481126"/>
    <w:rsid w:val="00481467"/>
    <w:rsid w:val="0048251F"/>
    <w:rsid w:val="0048306F"/>
    <w:rsid w:val="00484408"/>
    <w:rsid w:val="00487BEF"/>
    <w:rsid w:val="004900B2"/>
    <w:rsid w:val="00490545"/>
    <w:rsid w:val="004908C2"/>
    <w:rsid w:val="00490DE3"/>
    <w:rsid w:val="0049103D"/>
    <w:rsid w:val="00491855"/>
    <w:rsid w:val="00491CB1"/>
    <w:rsid w:val="00492D26"/>
    <w:rsid w:val="00494925"/>
    <w:rsid w:val="00494FE7"/>
    <w:rsid w:val="004978AD"/>
    <w:rsid w:val="00497A9A"/>
    <w:rsid w:val="004A07A9"/>
    <w:rsid w:val="004A09D5"/>
    <w:rsid w:val="004A0A50"/>
    <w:rsid w:val="004A0C63"/>
    <w:rsid w:val="004A250B"/>
    <w:rsid w:val="004A2A4E"/>
    <w:rsid w:val="004A307B"/>
    <w:rsid w:val="004A3793"/>
    <w:rsid w:val="004A3CB6"/>
    <w:rsid w:val="004A423F"/>
    <w:rsid w:val="004A4533"/>
    <w:rsid w:val="004A4833"/>
    <w:rsid w:val="004A7B11"/>
    <w:rsid w:val="004A7C73"/>
    <w:rsid w:val="004B0A3E"/>
    <w:rsid w:val="004B1A7F"/>
    <w:rsid w:val="004B23AF"/>
    <w:rsid w:val="004B2970"/>
    <w:rsid w:val="004B3734"/>
    <w:rsid w:val="004B3CC2"/>
    <w:rsid w:val="004B46F2"/>
    <w:rsid w:val="004B5B82"/>
    <w:rsid w:val="004B632D"/>
    <w:rsid w:val="004B6FF0"/>
    <w:rsid w:val="004B7BF0"/>
    <w:rsid w:val="004C074A"/>
    <w:rsid w:val="004C07EB"/>
    <w:rsid w:val="004C333C"/>
    <w:rsid w:val="004C3DE5"/>
    <w:rsid w:val="004C4976"/>
    <w:rsid w:val="004C7B1A"/>
    <w:rsid w:val="004D250F"/>
    <w:rsid w:val="004D3086"/>
    <w:rsid w:val="004D3DA0"/>
    <w:rsid w:val="004D4591"/>
    <w:rsid w:val="004D69F3"/>
    <w:rsid w:val="004D78D8"/>
    <w:rsid w:val="004E09AE"/>
    <w:rsid w:val="004E1E5E"/>
    <w:rsid w:val="004E21C0"/>
    <w:rsid w:val="004E4C69"/>
    <w:rsid w:val="004E59E6"/>
    <w:rsid w:val="004E768C"/>
    <w:rsid w:val="004F0747"/>
    <w:rsid w:val="004F0867"/>
    <w:rsid w:val="004F0B42"/>
    <w:rsid w:val="004F447C"/>
    <w:rsid w:val="004F4D45"/>
    <w:rsid w:val="004F7A35"/>
    <w:rsid w:val="005006DC"/>
    <w:rsid w:val="00502091"/>
    <w:rsid w:val="005036E6"/>
    <w:rsid w:val="00505F46"/>
    <w:rsid w:val="00510698"/>
    <w:rsid w:val="005123F4"/>
    <w:rsid w:val="00512958"/>
    <w:rsid w:val="00512A3D"/>
    <w:rsid w:val="00515182"/>
    <w:rsid w:val="0051671C"/>
    <w:rsid w:val="00522433"/>
    <w:rsid w:val="00522D42"/>
    <w:rsid w:val="00522E13"/>
    <w:rsid w:val="00524177"/>
    <w:rsid w:val="005257C2"/>
    <w:rsid w:val="005261DB"/>
    <w:rsid w:val="00527071"/>
    <w:rsid w:val="00530CA0"/>
    <w:rsid w:val="00530ECF"/>
    <w:rsid w:val="00531ECC"/>
    <w:rsid w:val="00532297"/>
    <w:rsid w:val="005354D1"/>
    <w:rsid w:val="00535C63"/>
    <w:rsid w:val="00535C86"/>
    <w:rsid w:val="005367BA"/>
    <w:rsid w:val="00536FEB"/>
    <w:rsid w:val="005403B9"/>
    <w:rsid w:val="00540788"/>
    <w:rsid w:val="00540D76"/>
    <w:rsid w:val="00541945"/>
    <w:rsid w:val="00541AB9"/>
    <w:rsid w:val="00541DB5"/>
    <w:rsid w:val="0054218E"/>
    <w:rsid w:val="005424E4"/>
    <w:rsid w:val="005424E6"/>
    <w:rsid w:val="00543168"/>
    <w:rsid w:val="00544D92"/>
    <w:rsid w:val="00545975"/>
    <w:rsid w:val="00546745"/>
    <w:rsid w:val="005472D6"/>
    <w:rsid w:val="00547604"/>
    <w:rsid w:val="00550AE4"/>
    <w:rsid w:val="005513D0"/>
    <w:rsid w:val="00551B09"/>
    <w:rsid w:val="0055239B"/>
    <w:rsid w:val="005539B4"/>
    <w:rsid w:val="00553C07"/>
    <w:rsid w:val="00554953"/>
    <w:rsid w:val="005612A8"/>
    <w:rsid w:val="00562BE3"/>
    <w:rsid w:val="00564011"/>
    <w:rsid w:val="00566A41"/>
    <w:rsid w:val="00567F8E"/>
    <w:rsid w:val="005717DF"/>
    <w:rsid w:val="00571DDF"/>
    <w:rsid w:val="0057217D"/>
    <w:rsid w:val="00572C56"/>
    <w:rsid w:val="005732D4"/>
    <w:rsid w:val="0057367F"/>
    <w:rsid w:val="00575726"/>
    <w:rsid w:val="00576C73"/>
    <w:rsid w:val="0057776A"/>
    <w:rsid w:val="00577C8C"/>
    <w:rsid w:val="005812F6"/>
    <w:rsid w:val="00581EE0"/>
    <w:rsid w:val="0058370F"/>
    <w:rsid w:val="0058406A"/>
    <w:rsid w:val="005846B8"/>
    <w:rsid w:val="00585DEB"/>
    <w:rsid w:val="0058639D"/>
    <w:rsid w:val="00590657"/>
    <w:rsid w:val="005927C0"/>
    <w:rsid w:val="005958CF"/>
    <w:rsid w:val="00595AED"/>
    <w:rsid w:val="00596DD4"/>
    <w:rsid w:val="005971D3"/>
    <w:rsid w:val="005A0D2F"/>
    <w:rsid w:val="005A0EAB"/>
    <w:rsid w:val="005A2276"/>
    <w:rsid w:val="005A27C9"/>
    <w:rsid w:val="005A2CEA"/>
    <w:rsid w:val="005A2E4F"/>
    <w:rsid w:val="005A3C8F"/>
    <w:rsid w:val="005A49DB"/>
    <w:rsid w:val="005A4A4F"/>
    <w:rsid w:val="005A7258"/>
    <w:rsid w:val="005A79C6"/>
    <w:rsid w:val="005A7D59"/>
    <w:rsid w:val="005B1680"/>
    <w:rsid w:val="005B23BD"/>
    <w:rsid w:val="005B459A"/>
    <w:rsid w:val="005B532F"/>
    <w:rsid w:val="005B6979"/>
    <w:rsid w:val="005B7ACD"/>
    <w:rsid w:val="005B7C3F"/>
    <w:rsid w:val="005C2F55"/>
    <w:rsid w:val="005C6737"/>
    <w:rsid w:val="005C70C5"/>
    <w:rsid w:val="005C7124"/>
    <w:rsid w:val="005C791B"/>
    <w:rsid w:val="005D222C"/>
    <w:rsid w:val="005D25BC"/>
    <w:rsid w:val="005D3170"/>
    <w:rsid w:val="005D3B59"/>
    <w:rsid w:val="005D44C0"/>
    <w:rsid w:val="005D4ADE"/>
    <w:rsid w:val="005D5B5B"/>
    <w:rsid w:val="005D7E83"/>
    <w:rsid w:val="005E28E8"/>
    <w:rsid w:val="005E339D"/>
    <w:rsid w:val="005E33FA"/>
    <w:rsid w:val="005E34BF"/>
    <w:rsid w:val="005E36D0"/>
    <w:rsid w:val="005E3B7D"/>
    <w:rsid w:val="005E4763"/>
    <w:rsid w:val="005E514B"/>
    <w:rsid w:val="005E5591"/>
    <w:rsid w:val="005E6B81"/>
    <w:rsid w:val="005F049C"/>
    <w:rsid w:val="005F08F8"/>
    <w:rsid w:val="005F0B7E"/>
    <w:rsid w:val="005F2656"/>
    <w:rsid w:val="005F402C"/>
    <w:rsid w:val="005F4849"/>
    <w:rsid w:val="005F5E4F"/>
    <w:rsid w:val="005F6A10"/>
    <w:rsid w:val="005F6D65"/>
    <w:rsid w:val="0060091F"/>
    <w:rsid w:val="0060196E"/>
    <w:rsid w:val="00601EC9"/>
    <w:rsid w:val="00603797"/>
    <w:rsid w:val="006043AB"/>
    <w:rsid w:val="00606EA4"/>
    <w:rsid w:val="006121B3"/>
    <w:rsid w:val="0061276D"/>
    <w:rsid w:val="00612AB2"/>
    <w:rsid w:val="00614BC7"/>
    <w:rsid w:val="00616B70"/>
    <w:rsid w:val="0062061D"/>
    <w:rsid w:val="00622E6F"/>
    <w:rsid w:val="00623134"/>
    <w:rsid w:val="00623697"/>
    <w:rsid w:val="00625F88"/>
    <w:rsid w:val="006278D8"/>
    <w:rsid w:val="00630F4E"/>
    <w:rsid w:val="006326DC"/>
    <w:rsid w:val="006338CA"/>
    <w:rsid w:val="00634E1B"/>
    <w:rsid w:val="00634E40"/>
    <w:rsid w:val="00634F24"/>
    <w:rsid w:val="006353DC"/>
    <w:rsid w:val="006357D7"/>
    <w:rsid w:val="00636018"/>
    <w:rsid w:val="00636204"/>
    <w:rsid w:val="00636E0B"/>
    <w:rsid w:val="00637102"/>
    <w:rsid w:val="0064125C"/>
    <w:rsid w:val="00641287"/>
    <w:rsid w:val="00641C3D"/>
    <w:rsid w:val="006434A6"/>
    <w:rsid w:val="00643BF1"/>
    <w:rsid w:val="006459AF"/>
    <w:rsid w:val="00646EF6"/>
    <w:rsid w:val="0064755E"/>
    <w:rsid w:val="0065052A"/>
    <w:rsid w:val="006515F7"/>
    <w:rsid w:val="00652D34"/>
    <w:rsid w:val="0065340D"/>
    <w:rsid w:val="00653D9B"/>
    <w:rsid w:val="00653FCD"/>
    <w:rsid w:val="00654602"/>
    <w:rsid w:val="006546F7"/>
    <w:rsid w:val="006549ED"/>
    <w:rsid w:val="006551D6"/>
    <w:rsid w:val="00655A32"/>
    <w:rsid w:val="00655DF0"/>
    <w:rsid w:val="00656DE9"/>
    <w:rsid w:val="0066024C"/>
    <w:rsid w:val="00660663"/>
    <w:rsid w:val="00661C54"/>
    <w:rsid w:val="00661DE5"/>
    <w:rsid w:val="00661FAD"/>
    <w:rsid w:val="0066393D"/>
    <w:rsid w:val="00666C49"/>
    <w:rsid w:val="00667363"/>
    <w:rsid w:val="00670127"/>
    <w:rsid w:val="006718DD"/>
    <w:rsid w:val="00672D1A"/>
    <w:rsid w:val="006734C7"/>
    <w:rsid w:val="00674CA3"/>
    <w:rsid w:val="00675593"/>
    <w:rsid w:val="00675E8E"/>
    <w:rsid w:val="00675F9C"/>
    <w:rsid w:val="006760C6"/>
    <w:rsid w:val="00677D2D"/>
    <w:rsid w:val="00680385"/>
    <w:rsid w:val="00680911"/>
    <w:rsid w:val="006809E8"/>
    <w:rsid w:val="00681BF3"/>
    <w:rsid w:val="006824DB"/>
    <w:rsid w:val="00683754"/>
    <w:rsid w:val="006839AE"/>
    <w:rsid w:val="00683A30"/>
    <w:rsid w:val="00684221"/>
    <w:rsid w:val="00684247"/>
    <w:rsid w:val="00684328"/>
    <w:rsid w:val="006848A4"/>
    <w:rsid w:val="00684A65"/>
    <w:rsid w:val="0068536B"/>
    <w:rsid w:val="00685E09"/>
    <w:rsid w:val="006864AE"/>
    <w:rsid w:val="00687248"/>
    <w:rsid w:val="00687385"/>
    <w:rsid w:val="00692C34"/>
    <w:rsid w:val="00694D3D"/>
    <w:rsid w:val="00695099"/>
    <w:rsid w:val="006952C7"/>
    <w:rsid w:val="00696EEF"/>
    <w:rsid w:val="006971B4"/>
    <w:rsid w:val="006A183F"/>
    <w:rsid w:val="006A5357"/>
    <w:rsid w:val="006B0762"/>
    <w:rsid w:val="006B173D"/>
    <w:rsid w:val="006B1A56"/>
    <w:rsid w:val="006B216D"/>
    <w:rsid w:val="006B2C07"/>
    <w:rsid w:val="006B3371"/>
    <w:rsid w:val="006B4AA9"/>
    <w:rsid w:val="006B4AAC"/>
    <w:rsid w:val="006B5E97"/>
    <w:rsid w:val="006B72EE"/>
    <w:rsid w:val="006C035F"/>
    <w:rsid w:val="006C0EAD"/>
    <w:rsid w:val="006C1197"/>
    <w:rsid w:val="006C132E"/>
    <w:rsid w:val="006C5193"/>
    <w:rsid w:val="006C5D8C"/>
    <w:rsid w:val="006C7DD9"/>
    <w:rsid w:val="006C7ED2"/>
    <w:rsid w:val="006C7F18"/>
    <w:rsid w:val="006D04E6"/>
    <w:rsid w:val="006D09CF"/>
    <w:rsid w:val="006D27BA"/>
    <w:rsid w:val="006D301A"/>
    <w:rsid w:val="006D4368"/>
    <w:rsid w:val="006D4A60"/>
    <w:rsid w:val="006D5A63"/>
    <w:rsid w:val="006D609E"/>
    <w:rsid w:val="006D68F7"/>
    <w:rsid w:val="006D7350"/>
    <w:rsid w:val="006E27D2"/>
    <w:rsid w:val="006E296C"/>
    <w:rsid w:val="006E4875"/>
    <w:rsid w:val="006E4CAA"/>
    <w:rsid w:val="006E67B8"/>
    <w:rsid w:val="006F0585"/>
    <w:rsid w:val="006F0697"/>
    <w:rsid w:val="006F178C"/>
    <w:rsid w:val="006F1AC8"/>
    <w:rsid w:val="006F1E94"/>
    <w:rsid w:val="006F2189"/>
    <w:rsid w:val="006F22BD"/>
    <w:rsid w:val="006F418F"/>
    <w:rsid w:val="006F462F"/>
    <w:rsid w:val="006F492B"/>
    <w:rsid w:val="006F59C2"/>
    <w:rsid w:val="006F7915"/>
    <w:rsid w:val="00701099"/>
    <w:rsid w:val="007025F6"/>
    <w:rsid w:val="00702E62"/>
    <w:rsid w:val="0070318A"/>
    <w:rsid w:val="007037AB"/>
    <w:rsid w:val="00706066"/>
    <w:rsid w:val="007067B9"/>
    <w:rsid w:val="0071093D"/>
    <w:rsid w:val="00715846"/>
    <w:rsid w:val="00715B5A"/>
    <w:rsid w:val="00720F1B"/>
    <w:rsid w:val="0072147B"/>
    <w:rsid w:val="00722553"/>
    <w:rsid w:val="007239FA"/>
    <w:rsid w:val="00724820"/>
    <w:rsid w:val="007252E0"/>
    <w:rsid w:val="00725765"/>
    <w:rsid w:val="00726522"/>
    <w:rsid w:val="00731A12"/>
    <w:rsid w:val="00732FEC"/>
    <w:rsid w:val="0073391E"/>
    <w:rsid w:val="00733ADE"/>
    <w:rsid w:val="007343AA"/>
    <w:rsid w:val="00734C34"/>
    <w:rsid w:val="00734F23"/>
    <w:rsid w:val="007352EE"/>
    <w:rsid w:val="0073623F"/>
    <w:rsid w:val="007365D4"/>
    <w:rsid w:val="00737CCD"/>
    <w:rsid w:val="0074073C"/>
    <w:rsid w:val="00742009"/>
    <w:rsid w:val="00743133"/>
    <w:rsid w:val="00743A5D"/>
    <w:rsid w:val="00745283"/>
    <w:rsid w:val="00745362"/>
    <w:rsid w:val="0074692A"/>
    <w:rsid w:val="00752B6E"/>
    <w:rsid w:val="00753CF2"/>
    <w:rsid w:val="00753E93"/>
    <w:rsid w:val="00755C60"/>
    <w:rsid w:val="00755CCE"/>
    <w:rsid w:val="00757CE9"/>
    <w:rsid w:val="00757D27"/>
    <w:rsid w:val="00761241"/>
    <w:rsid w:val="00761652"/>
    <w:rsid w:val="00764423"/>
    <w:rsid w:val="00767997"/>
    <w:rsid w:val="00767E0D"/>
    <w:rsid w:val="007729C5"/>
    <w:rsid w:val="007731F1"/>
    <w:rsid w:val="00773E64"/>
    <w:rsid w:val="007743D5"/>
    <w:rsid w:val="00774F3B"/>
    <w:rsid w:val="00777BEE"/>
    <w:rsid w:val="0078273A"/>
    <w:rsid w:val="007847A1"/>
    <w:rsid w:val="007859FE"/>
    <w:rsid w:val="00787AC7"/>
    <w:rsid w:val="00787E09"/>
    <w:rsid w:val="00791354"/>
    <w:rsid w:val="00791487"/>
    <w:rsid w:val="00791D21"/>
    <w:rsid w:val="00793821"/>
    <w:rsid w:val="00793862"/>
    <w:rsid w:val="007941EE"/>
    <w:rsid w:val="00795F9F"/>
    <w:rsid w:val="0079730B"/>
    <w:rsid w:val="007A030C"/>
    <w:rsid w:val="007A03CE"/>
    <w:rsid w:val="007A0833"/>
    <w:rsid w:val="007A0B4B"/>
    <w:rsid w:val="007A0C1A"/>
    <w:rsid w:val="007A33C2"/>
    <w:rsid w:val="007A3758"/>
    <w:rsid w:val="007A4757"/>
    <w:rsid w:val="007A7393"/>
    <w:rsid w:val="007B053D"/>
    <w:rsid w:val="007B0F3F"/>
    <w:rsid w:val="007B1940"/>
    <w:rsid w:val="007B1B54"/>
    <w:rsid w:val="007C2F9B"/>
    <w:rsid w:val="007C375D"/>
    <w:rsid w:val="007C3BCF"/>
    <w:rsid w:val="007C492C"/>
    <w:rsid w:val="007C6491"/>
    <w:rsid w:val="007C64E7"/>
    <w:rsid w:val="007C6D5B"/>
    <w:rsid w:val="007C7197"/>
    <w:rsid w:val="007D2722"/>
    <w:rsid w:val="007D317E"/>
    <w:rsid w:val="007D5AD7"/>
    <w:rsid w:val="007D7FDC"/>
    <w:rsid w:val="007E4211"/>
    <w:rsid w:val="007E4BB5"/>
    <w:rsid w:val="007E53C2"/>
    <w:rsid w:val="007E5953"/>
    <w:rsid w:val="007E5D61"/>
    <w:rsid w:val="007E6973"/>
    <w:rsid w:val="007F1618"/>
    <w:rsid w:val="007F16ED"/>
    <w:rsid w:val="007F1EF8"/>
    <w:rsid w:val="007F27CD"/>
    <w:rsid w:val="007F2CEB"/>
    <w:rsid w:val="007F2EC1"/>
    <w:rsid w:val="007F2ED4"/>
    <w:rsid w:val="007F3533"/>
    <w:rsid w:val="007F38E9"/>
    <w:rsid w:val="007F39A9"/>
    <w:rsid w:val="007F4143"/>
    <w:rsid w:val="007F57A6"/>
    <w:rsid w:val="007F666C"/>
    <w:rsid w:val="007F6814"/>
    <w:rsid w:val="007F7726"/>
    <w:rsid w:val="0080233D"/>
    <w:rsid w:val="00802CBA"/>
    <w:rsid w:val="00803D89"/>
    <w:rsid w:val="00804AA5"/>
    <w:rsid w:val="00805DD3"/>
    <w:rsid w:val="00807950"/>
    <w:rsid w:val="00810126"/>
    <w:rsid w:val="008104A5"/>
    <w:rsid w:val="00810C2F"/>
    <w:rsid w:val="00810CAB"/>
    <w:rsid w:val="008120E6"/>
    <w:rsid w:val="008130F8"/>
    <w:rsid w:val="00813A59"/>
    <w:rsid w:val="00813D1F"/>
    <w:rsid w:val="0081513E"/>
    <w:rsid w:val="00815372"/>
    <w:rsid w:val="008174F9"/>
    <w:rsid w:val="008211D5"/>
    <w:rsid w:val="00823457"/>
    <w:rsid w:val="00823FC8"/>
    <w:rsid w:val="008279A3"/>
    <w:rsid w:val="008306B1"/>
    <w:rsid w:val="00830CC3"/>
    <w:rsid w:val="008335D9"/>
    <w:rsid w:val="00835597"/>
    <w:rsid w:val="00836032"/>
    <w:rsid w:val="00836680"/>
    <w:rsid w:val="00836746"/>
    <w:rsid w:val="008376A0"/>
    <w:rsid w:val="00837C8E"/>
    <w:rsid w:val="00840FB9"/>
    <w:rsid w:val="00841045"/>
    <w:rsid w:val="008428B5"/>
    <w:rsid w:val="008436B2"/>
    <w:rsid w:val="00843EF0"/>
    <w:rsid w:val="00844833"/>
    <w:rsid w:val="00845E15"/>
    <w:rsid w:val="00850C4F"/>
    <w:rsid w:val="00850CDB"/>
    <w:rsid w:val="00851401"/>
    <w:rsid w:val="008520A5"/>
    <w:rsid w:val="00855DED"/>
    <w:rsid w:val="0085682B"/>
    <w:rsid w:val="0085718E"/>
    <w:rsid w:val="008575D5"/>
    <w:rsid w:val="00857FBA"/>
    <w:rsid w:val="0086388A"/>
    <w:rsid w:val="00864255"/>
    <w:rsid w:val="0086454C"/>
    <w:rsid w:val="00865283"/>
    <w:rsid w:val="00865524"/>
    <w:rsid w:val="00871F05"/>
    <w:rsid w:val="008743E4"/>
    <w:rsid w:val="00874BBF"/>
    <w:rsid w:val="008757B6"/>
    <w:rsid w:val="00875913"/>
    <w:rsid w:val="00875B72"/>
    <w:rsid w:val="00876797"/>
    <w:rsid w:val="00876A67"/>
    <w:rsid w:val="00877FFE"/>
    <w:rsid w:val="00881555"/>
    <w:rsid w:val="008823A1"/>
    <w:rsid w:val="00886723"/>
    <w:rsid w:val="00890421"/>
    <w:rsid w:val="00890551"/>
    <w:rsid w:val="0089086E"/>
    <w:rsid w:val="008910BC"/>
    <w:rsid w:val="00891989"/>
    <w:rsid w:val="00892440"/>
    <w:rsid w:val="0089277A"/>
    <w:rsid w:val="008933CA"/>
    <w:rsid w:val="0089418B"/>
    <w:rsid w:val="00894254"/>
    <w:rsid w:val="008942CB"/>
    <w:rsid w:val="00894E43"/>
    <w:rsid w:val="008956C3"/>
    <w:rsid w:val="00895857"/>
    <w:rsid w:val="00895AEC"/>
    <w:rsid w:val="00896815"/>
    <w:rsid w:val="008A1B3D"/>
    <w:rsid w:val="008A2860"/>
    <w:rsid w:val="008A28B4"/>
    <w:rsid w:val="008A293C"/>
    <w:rsid w:val="008A3688"/>
    <w:rsid w:val="008A381A"/>
    <w:rsid w:val="008A7D2F"/>
    <w:rsid w:val="008B0348"/>
    <w:rsid w:val="008B4168"/>
    <w:rsid w:val="008B5079"/>
    <w:rsid w:val="008B746D"/>
    <w:rsid w:val="008C075E"/>
    <w:rsid w:val="008C0AE6"/>
    <w:rsid w:val="008C1F04"/>
    <w:rsid w:val="008C2AD1"/>
    <w:rsid w:val="008C2B3F"/>
    <w:rsid w:val="008D0CEF"/>
    <w:rsid w:val="008D3909"/>
    <w:rsid w:val="008D3C82"/>
    <w:rsid w:val="008D5A12"/>
    <w:rsid w:val="008D6459"/>
    <w:rsid w:val="008D7262"/>
    <w:rsid w:val="008E09DD"/>
    <w:rsid w:val="008E0BF7"/>
    <w:rsid w:val="008E1E5A"/>
    <w:rsid w:val="008E2575"/>
    <w:rsid w:val="008E3EC8"/>
    <w:rsid w:val="008E50D9"/>
    <w:rsid w:val="008E61CF"/>
    <w:rsid w:val="008E6F6A"/>
    <w:rsid w:val="008F2865"/>
    <w:rsid w:val="008F2A87"/>
    <w:rsid w:val="008F2F0F"/>
    <w:rsid w:val="008F30E4"/>
    <w:rsid w:val="008F3278"/>
    <w:rsid w:val="008F3832"/>
    <w:rsid w:val="008F44DB"/>
    <w:rsid w:val="008F44FC"/>
    <w:rsid w:val="008F4A85"/>
    <w:rsid w:val="008F4E5E"/>
    <w:rsid w:val="008F6773"/>
    <w:rsid w:val="008F74FD"/>
    <w:rsid w:val="008F762E"/>
    <w:rsid w:val="009001C8"/>
    <w:rsid w:val="00901C5D"/>
    <w:rsid w:val="009028DE"/>
    <w:rsid w:val="009038F5"/>
    <w:rsid w:val="00903F59"/>
    <w:rsid w:val="00904E07"/>
    <w:rsid w:val="009056CE"/>
    <w:rsid w:val="00906BEE"/>
    <w:rsid w:val="00906E69"/>
    <w:rsid w:val="00907950"/>
    <w:rsid w:val="00907B76"/>
    <w:rsid w:val="00910AA3"/>
    <w:rsid w:val="0091105B"/>
    <w:rsid w:val="00911EEB"/>
    <w:rsid w:val="009120A3"/>
    <w:rsid w:val="009138AB"/>
    <w:rsid w:val="009148CF"/>
    <w:rsid w:val="00920EBB"/>
    <w:rsid w:val="00924AF6"/>
    <w:rsid w:val="00924CBA"/>
    <w:rsid w:val="00924DD9"/>
    <w:rsid w:val="009250EE"/>
    <w:rsid w:val="009265AB"/>
    <w:rsid w:val="009274E2"/>
    <w:rsid w:val="0093132A"/>
    <w:rsid w:val="0093203C"/>
    <w:rsid w:val="00934C3C"/>
    <w:rsid w:val="009356C3"/>
    <w:rsid w:val="00935A8F"/>
    <w:rsid w:val="0093623E"/>
    <w:rsid w:val="009402EB"/>
    <w:rsid w:val="009408FF"/>
    <w:rsid w:val="009412E4"/>
    <w:rsid w:val="00941912"/>
    <w:rsid w:val="00943258"/>
    <w:rsid w:val="009446CB"/>
    <w:rsid w:val="00945E40"/>
    <w:rsid w:val="00946100"/>
    <w:rsid w:val="00946CEB"/>
    <w:rsid w:val="00950437"/>
    <w:rsid w:val="00950D68"/>
    <w:rsid w:val="00950E22"/>
    <w:rsid w:val="00951179"/>
    <w:rsid w:val="0095163C"/>
    <w:rsid w:val="00951A37"/>
    <w:rsid w:val="00952099"/>
    <w:rsid w:val="00952B39"/>
    <w:rsid w:val="00952F5E"/>
    <w:rsid w:val="00954B85"/>
    <w:rsid w:val="00954F33"/>
    <w:rsid w:val="00956102"/>
    <w:rsid w:val="0095691F"/>
    <w:rsid w:val="00957096"/>
    <w:rsid w:val="00960082"/>
    <w:rsid w:val="0096024E"/>
    <w:rsid w:val="00960428"/>
    <w:rsid w:val="00961BC0"/>
    <w:rsid w:val="00962172"/>
    <w:rsid w:val="009623A5"/>
    <w:rsid w:val="0096427C"/>
    <w:rsid w:val="00964D21"/>
    <w:rsid w:val="00964E8B"/>
    <w:rsid w:val="00964EEA"/>
    <w:rsid w:val="00964FCD"/>
    <w:rsid w:val="00965105"/>
    <w:rsid w:val="00965544"/>
    <w:rsid w:val="00970473"/>
    <w:rsid w:val="00971B9E"/>
    <w:rsid w:val="00975937"/>
    <w:rsid w:val="00983AB6"/>
    <w:rsid w:val="00983BAA"/>
    <w:rsid w:val="00984261"/>
    <w:rsid w:val="009851AD"/>
    <w:rsid w:val="0098697A"/>
    <w:rsid w:val="00986A50"/>
    <w:rsid w:val="0098750B"/>
    <w:rsid w:val="009905DE"/>
    <w:rsid w:val="00991510"/>
    <w:rsid w:val="00992187"/>
    <w:rsid w:val="00994112"/>
    <w:rsid w:val="00994E09"/>
    <w:rsid w:val="0099579A"/>
    <w:rsid w:val="009975CC"/>
    <w:rsid w:val="009976A9"/>
    <w:rsid w:val="009A029F"/>
    <w:rsid w:val="009A093E"/>
    <w:rsid w:val="009A15D0"/>
    <w:rsid w:val="009A2C4D"/>
    <w:rsid w:val="009A2E6B"/>
    <w:rsid w:val="009A35EF"/>
    <w:rsid w:val="009A4656"/>
    <w:rsid w:val="009A46D9"/>
    <w:rsid w:val="009A4D0F"/>
    <w:rsid w:val="009A5BB5"/>
    <w:rsid w:val="009A6599"/>
    <w:rsid w:val="009A6653"/>
    <w:rsid w:val="009A69A4"/>
    <w:rsid w:val="009A7486"/>
    <w:rsid w:val="009A7680"/>
    <w:rsid w:val="009B21F9"/>
    <w:rsid w:val="009B3210"/>
    <w:rsid w:val="009B3836"/>
    <w:rsid w:val="009B4B9F"/>
    <w:rsid w:val="009B4C2E"/>
    <w:rsid w:val="009B5DF1"/>
    <w:rsid w:val="009B6B10"/>
    <w:rsid w:val="009C1C9A"/>
    <w:rsid w:val="009C1EC9"/>
    <w:rsid w:val="009C202E"/>
    <w:rsid w:val="009C2C90"/>
    <w:rsid w:val="009C3C0C"/>
    <w:rsid w:val="009C6641"/>
    <w:rsid w:val="009C6F0F"/>
    <w:rsid w:val="009C75D3"/>
    <w:rsid w:val="009D0B9A"/>
    <w:rsid w:val="009D1BC9"/>
    <w:rsid w:val="009D29DD"/>
    <w:rsid w:val="009D492C"/>
    <w:rsid w:val="009D4944"/>
    <w:rsid w:val="009D532C"/>
    <w:rsid w:val="009D5853"/>
    <w:rsid w:val="009D76EB"/>
    <w:rsid w:val="009D79CB"/>
    <w:rsid w:val="009E0557"/>
    <w:rsid w:val="009E070C"/>
    <w:rsid w:val="009E10C4"/>
    <w:rsid w:val="009E16DC"/>
    <w:rsid w:val="009E1EEB"/>
    <w:rsid w:val="009F05B3"/>
    <w:rsid w:val="009F0FB0"/>
    <w:rsid w:val="009F3CC2"/>
    <w:rsid w:val="009F3FC1"/>
    <w:rsid w:val="009F6427"/>
    <w:rsid w:val="009F7B0A"/>
    <w:rsid w:val="00A00018"/>
    <w:rsid w:val="00A0019F"/>
    <w:rsid w:val="00A0587B"/>
    <w:rsid w:val="00A059DE"/>
    <w:rsid w:val="00A06DAA"/>
    <w:rsid w:val="00A07ABB"/>
    <w:rsid w:val="00A11EB1"/>
    <w:rsid w:val="00A120AA"/>
    <w:rsid w:val="00A12264"/>
    <w:rsid w:val="00A12C35"/>
    <w:rsid w:val="00A13C52"/>
    <w:rsid w:val="00A17655"/>
    <w:rsid w:val="00A214C3"/>
    <w:rsid w:val="00A23E1B"/>
    <w:rsid w:val="00A249D1"/>
    <w:rsid w:val="00A26349"/>
    <w:rsid w:val="00A26EEF"/>
    <w:rsid w:val="00A278C1"/>
    <w:rsid w:val="00A27C51"/>
    <w:rsid w:val="00A3135E"/>
    <w:rsid w:val="00A31A3F"/>
    <w:rsid w:val="00A338F9"/>
    <w:rsid w:val="00A34BB8"/>
    <w:rsid w:val="00A36BB1"/>
    <w:rsid w:val="00A36E88"/>
    <w:rsid w:val="00A37D86"/>
    <w:rsid w:val="00A40E8C"/>
    <w:rsid w:val="00A43072"/>
    <w:rsid w:val="00A430E8"/>
    <w:rsid w:val="00A434E9"/>
    <w:rsid w:val="00A4431C"/>
    <w:rsid w:val="00A45C75"/>
    <w:rsid w:val="00A53245"/>
    <w:rsid w:val="00A5391F"/>
    <w:rsid w:val="00A56512"/>
    <w:rsid w:val="00A57CBB"/>
    <w:rsid w:val="00A60DEF"/>
    <w:rsid w:val="00A62D74"/>
    <w:rsid w:val="00A6477D"/>
    <w:rsid w:val="00A65CC2"/>
    <w:rsid w:val="00A6687F"/>
    <w:rsid w:val="00A66945"/>
    <w:rsid w:val="00A672BF"/>
    <w:rsid w:val="00A67472"/>
    <w:rsid w:val="00A67A68"/>
    <w:rsid w:val="00A67CE2"/>
    <w:rsid w:val="00A70398"/>
    <w:rsid w:val="00A71905"/>
    <w:rsid w:val="00A73507"/>
    <w:rsid w:val="00A73CFD"/>
    <w:rsid w:val="00A73E3A"/>
    <w:rsid w:val="00A77331"/>
    <w:rsid w:val="00A77821"/>
    <w:rsid w:val="00A81625"/>
    <w:rsid w:val="00A82059"/>
    <w:rsid w:val="00A83952"/>
    <w:rsid w:val="00A853C3"/>
    <w:rsid w:val="00A85425"/>
    <w:rsid w:val="00A86503"/>
    <w:rsid w:val="00A9017A"/>
    <w:rsid w:val="00A92F3A"/>
    <w:rsid w:val="00A93AE9"/>
    <w:rsid w:val="00A963BC"/>
    <w:rsid w:val="00A97B0D"/>
    <w:rsid w:val="00AA0AD2"/>
    <w:rsid w:val="00AA109B"/>
    <w:rsid w:val="00AA1772"/>
    <w:rsid w:val="00AA3331"/>
    <w:rsid w:val="00AA5A01"/>
    <w:rsid w:val="00AA79B6"/>
    <w:rsid w:val="00AA7E3C"/>
    <w:rsid w:val="00AB0070"/>
    <w:rsid w:val="00AB02A9"/>
    <w:rsid w:val="00AB089D"/>
    <w:rsid w:val="00AB1798"/>
    <w:rsid w:val="00AB1DC8"/>
    <w:rsid w:val="00AB2717"/>
    <w:rsid w:val="00AB4841"/>
    <w:rsid w:val="00AB5257"/>
    <w:rsid w:val="00AB59C0"/>
    <w:rsid w:val="00AB60C0"/>
    <w:rsid w:val="00AC029F"/>
    <w:rsid w:val="00AC144F"/>
    <w:rsid w:val="00AC244A"/>
    <w:rsid w:val="00AC258E"/>
    <w:rsid w:val="00AC4099"/>
    <w:rsid w:val="00AC49A5"/>
    <w:rsid w:val="00AC5069"/>
    <w:rsid w:val="00AC5266"/>
    <w:rsid w:val="00AC634B"/>
    <w:rsid w:val="00AC6415"/>
    <w:rsid w:val="00AC6C05"/>
    <w:rsid w:val="00AC7265"/>
    <w:rsid w:val="00AC7EE6"/>
    <w:rsid w:val="00AD0CD3"/>
    <w:rsid w:val="00AD0FD2"/>
    <w:rsid w:val="00AD16D9"/>
    <w:rsid w:val="00AD25A6"/>
    <w:rsid w:val="00AD27DE"/>
    <w:rsid w:val="00AD3004"/>
    <w:rsid w:val="00AD48C3"/>
    <w:rsid w:val="00AD4FD9"/>
    <w:rsid w:val="00AD5071"/>
    <w:rsid w:val="00AD50F9"/>
    <w:rsid w:val="00AE0F2E"/>
    <w:rsid w:val="00AE19AA"/>
    <w:rsid w:val="00AE33C4"/>
    <w:rsid w:val="00AE4C6E"/>
    <w:rsid w:val="00AE58BE"/>
    <w:rsid w:val="00AE60FA"/>
    <w:rsid w:val="00AE6A0C"/>
    <w:rsid w:val="00AF1123"/>
    <w:rsid w:val="00AF18D5"/>
    <w:rsid w:val="00AF2435"/>
    <w:rsid w:val="00AF2CC8"/>
    <w:rsid w:val="00AF31F8"/>
    <w:rsid w:val="00AF35ED"/>
    <w:rsid w:val="00AF3D62"/>
    <w:rsid w:val="00AF4217"/>
    <w:rsid w:val="00AF7628"/>
    <w:rsid w:val="00AF7A84"/>
    <w:rsid w:val="00B008E3"/>
    <w:rsid w:val="00B01342"/>
    <w:rsid w:val="00B0223A"/>
    <w:rsid w:val="00B02E02"/>
    <w:rsid w:val="00B03B45"/>
    <w:rsid w:val="00B04BA0"/>
    <w:rsid w:val="00B07BD7"/>
    <w:rsid w:val="00B100A3"/>
    <w:rsid w:val="00B10D47"/>
    <w:rsid w:val="00B14AE5"/>
    <w:rsid w:val="00B14F47"/>
    <w:rsid w:val="00B175B0"/>
    <w:rsid w:val="00B209CF"/>
    <w:rsid w:val="00B218BE"/>
    <w:rsid w:val="00B22DA9"/>
    <w:rsid w:val="00B255EF"/>
    <w:rsid w:val="00B26599"/>
    <w:rsid w:val="00B26B6C"/>
    <w:rsid w:val="00B26C80"/>
    <w:rsid w:val="00B26EF2"/>
    <w:rsid w:val="00B305FD"/>
    <w:rsid w:val="00B30915"/>
    <w:rsid w:val="00B34196"/>
    <w:rsid w:val="00B3562B"/>
    <w:rsid w:val="00B35E18"/>
    <w:rsid w:val="00B362FC"/>
    <w:rsid w:val="00B373E4"/>
    <w:rsid w:val="00B375BE"/>
    <w:rsid w:val="00B40B86"/>
    <w:rsid w:val="00B41046"/>
    <w:rsid w:val="00B41053"/>
    <w:rsid w:val="00B424DD"/>
    <w:rsid w:val="00B452FF"/>
    <w:rsid w:val="00B4701C"/>
    <w:rsid w:val="00B4799E"/>
    <w:rsid w:val="00B50956"/>
    <w:rsid w:val="00B50AF9"/>
    <w:rsid w:val="00B50FD8"/>
    <w:rsid w:val="00B52874"/>
    <w:rsid w:val="00B5328A"/>
    <w:rsid w:val="00B53960"/>
    <w:rsid w:val="00B53AEE"/>
    <w:rsid w:val="00B546E4"/>
    <w:rsid w:val="00B56125"/>
    <w:rsid w:val="00B56C88"/>
    <w:rsid w:val="00B61E5A"/>
    <w:rsid w:val="00B62A92"/>
    <w:rsid w:val="00B64371"/>
    <w:rsid w:val="00B644D0"/>
    <w:rsid w:val="00B652CB"/>
    <w:rsid w:val="00B65BFC"/>
    <w:rsid w:val="00B66E0C"/>
    <w:rsid w:val="00B7135A"/>
    <w:rsid w:val="00B71C15"/>
    <w:rsid w:val="00B75C96"/>
    <w:rsid w:val="00B75E22"/>
    <w:rsid w:val="00B77CB9"/>
    <w:rsid w:val="00B80DA4"/>
    <w:rsid w:val="00B83677"/>
    <w:rsid w:val="00B84510"/>
    <w:rsid w:val="00B84E24"/>
    <w:rsid w:val="00B86DC6"/>
    <w:rsid w:val="00B87703"/>
    <w:rsid w:val="00B87C98"/>
    <w:rsid w:val="00B87D6C"/>
    <w:rsid w:val="00B929B8"/>
    <w:rsid w:val="00B939E8"/>
    <w:rsid w:val="00B957CA"/>
    <w:rsid w:val="00B9774F"/>
    <w:rsid w:val="00B97B34"/>
    <w:rsid w:val="00BA057F"/>
    <w:rsid w:val="00BA1032"/>
    <w:rsid w:val="00BA2075"/>
    <w:rsid w:val="00BA4983"/>
    <w:rsid w:val="00BA50CC"/>
    <w:rsid w:val="00BA639C"/>
    <w:rsid w:val="00BA6D6C"/>
    <w:rsid w:val="00BA6E9F"/>
    <w:rsid w:val="00BA71DB"/>
    <w:rsid w:val="00BB09A9"/>
    <w:rsid w:val="00BB10D5"/>
    <w:rsid w:val="00BB2636"/>
    <w:rsid w:val="00BB26E0"/>
    <w:rsid w:val="00BB2726"/>
    <w:rsid w:val="00BB2FAB"/>
    <w:rsid w:val="00BB4F5E"/>
    <w:rsid w:val="00BB553B"/>
    <w:rsid w:val="00BB6561"/>
    <w:rsid w:val="00BB675D"/>
    <w:rsid w:val="00BB68F9"/>
    <w:rsid w:val="00BB70A7"/>
    <w:rsid w:val="00BC2541"/>
    <w:rsid w:val="00BC2636"/>
    <w:rsid w:val="00BC2753"/>
    <w:rsid w:val="00BC2B30"/>
    <w:rsid w:val="00BC4434"/>
    <w:rsid w:val="00BC4D70"/>
    <w:rsid w:val="00BC5AD0"/>
    <w:rsid w:val="00BC6FB7"/>
    <w:rsid w:val="00BC7188"/>
    <w:rsid w:val="00BC760E"/>
    <w:rsid w:val="00BD21BB"/>
    <w:rsid w:val="00BD3571"/>
    <w:rsid w:val="00BD4A11"/>
    <w:rsid w:val="00BD5BBE"/>
    <w:rsid w:val="00BD64E2"/>
    <w:rsid w:val="00BD7361"/>
    <w:rsid w:val="00BD77E0"/>
    <w:rsid w:val="00BD7801"/>
    <w:rsid w:val="00BE1497"/>
    <w:rsid w:val="00BE1873"/>
    <w:rsid w:val="00BE36D6"/>
    <w:rsid w:val="00BE5FFE"/>
    <w:rsid w:val="00BE6D35"/>
    <w:rsid w:val="00BF07AB"/>
    <w:rsid w:val="00BF0E23"/>
    <w:rsid w:val="00BF4E01"/>
    <w:rsid w:val="00BF621E"/>
    <w:rsid w:val="00BF776C"/>
    <w:rsid w:val="00BF7E6E"/>
    <w:rsid w:val="00C008C9"/>
    <w:rsid w:val="00C02FDB"/>
    <w:rsid w:val="00C031E2"/>
    <w:rsid w:val="00C0369F"/>
    <w:rsid w:val="00C10BF1"/>
    <w:rsid w:val="00C110D5"/>
    <w:rsid w:val="00C118BA"/>
    <w:rsid w:val="00C11FAC"/>
    <w:rsid w:val="00C123AE"/>
    <w:rsid w:val="00C12DF9"/>
    <w:rsid w:val="00C13197"/>
    <w:rsid w:val="00C143CF"/>
    <w:rsid w:val="00C14C13"/>
    <w:rsid w:val="00C1551C"/>
    <w:rsid w:val="00C177F1"/>
    <w:rsid w:val="00C17C25"/>
    <w:rsid w:val="00C23315"/>
    <w:rsid w:val="00C24195"/>
    <w:rsid w:val="00C261A4"/>
    <w:rsid w:val="00C267CC"/>
    <w:rsid w:val="00C26A80"/>
    <w:rsid w:val="00C271AD"/>
    <w:rsid w:val="00C332BE"/>
    <w:rsid w:val="00C335D3"/>
    <w:rsid w:val="00C355FA"/>
    <w:rsid w:val="00C356AE"/>
    <w:rsid w:val="00C3718C"/>
    <w:rsid w:val="00C406A1"/>
    <w:rsid w:val="00C4443C"/>
    <w:rsid w:val="00C44827"/>
    <w:rsid w:val="00C45C92"/>
    <w:rsid w:val="00C45E59"/>
    <w:rsid w:val="00C46B39"/>
    <w:rsid w:val="00C5153C"/>
    <w:rsid w:val="00C520F9"/>
    <w:rsid w:val="00C52E6F"/>
    <w:rsid w:val="00C535A0"/>
    <w:rsid w:val="00C5365E"/>
    <w:rsid w:val="00C56073"/>
    <w:rsid w:val="00C560B5"/>
    <w:rsid w:val="00C57301"/>
    <w:rsid w:val="00C61D47"/>
    <w:rsid w:val="00C6483A"/>
    <w:rsid w:val="00C671B8"/>
    <w:rsid w:val="00C67425"/>
    <w:rsid w:val="00C72D87"/>
    <w:rsid w:val="00C73773"/>
    <w:rsid w:val="00C7387A"/>
    <w:rsid w:val="00C742CE"/>
    <w:rsid w:val="00C7589A"/>
    <w:rsid w:val="00C765F1"/>
    <w:rsid w:val="00C76A66"/>
    <w:rsid w:val="00C76EDD"/>
    <w:rsid w:val="00C7737F"/>
    <w:rsid w:val="00C80925"/>
    <w:rsid w:val="00C80ACE"/>
    <w:rsid w:val="00C81BF1"/>
    <w:rsid w:val="00C82440"/>
    <w:rsid w:val="00C83D52"/>
    <w:rsid w:val="00C84540"/>
    <w:rsid w:val="00C84952"/>
    <w:rsid w:val="00C85516"/>
    <w:rsid w:val="00C85F0C"/>
    <w:rsid w:val="00C91C02"/>
    <w:rsid w:val="00C92CE2"/>
    <w:rsid w:val="00C95F91"/>
    <w:rsid w:val="00C96D9F"/>
    <w:rsid w:val="00CA172D"/>
    <w:rsid w:val="00CA22FB"/>
    <w:rsid w:val="00CA356D"/>
    <w:rsid w:val="00CA3AF5"/>
    <w:rsid w:val="00CA3F7B"/>
    <w:rsid w:val="00CA4DE6"/>
    <w:rsid w:val="00CA538D"/>
    <w:rsid w:val="00CA610F"/>
    <w:rsid w:val="00CA7262"/>
    <w:rsid w:val="00CB1BDA"/>
    <w:rsid w:val="00CC0D20"/>
    <w:rsid w:val="00CC1E3C"/>
    <w:rsid w:val="00CC23D8"/>
    <w:rsid w:val="00CC2CA5"/>
    <w:rsid w:val="00CC3301"/>
    <w:rsid w:val="00CC46DC"/>
    <w:rsid w:val="00CC64C8"/>
    <w:rsid w:val="00CC6992"/>
    <w:rsid w:val="00CD1A8B"/>
    <w:rsid w:val="00CD2BCD"/>
    <w:rsid w:val="00CD2F89"/>
    <w:rsid w:val="00CD5B98"/>
    <w:rsid w:val="00CD67AC"/>
    <w:rsid w:val="00CD7EB3"/>
    <w:rsid w:val="00CE06CB"/>
    <w:rsid w:val="00CE08A7"/>
    <w:rsid w:val="00CE0C63"/>
    <w:rsid w:val="00CE177A"/>
    <w:rsid w:val="00CE1A94"/>
    <w:rsid w:val="00CE2459"/>
    <w:rsid w:val="00CE574C"/>
    <w:rsid w:val="00CE72AA"/>
    <w:rsid w:val="00CE7725"/>
    <w:rsid w:val="00CF0766"/>
    <w:rsid w:val="00CF0C0E"/>
    <w:rsid w:val="00CF0FFB"/>
    <w:rsid w:val="00CF3D87"/>
    <w:rsid w:val="00CF42E5"/>
    <w:rsid w:val="00CF4630"/>
    <w:rsid w:val="00CF5661"/>
    <w:rsid w:val="00CF5B38"/>
    <w:rsid w:val="00CF6F62"/>
    <w:rsid w:val="00CF752A"/>
    <w:rsid w:val="00D005DD"/>
    <w:rsid w:val="00D0230E"/>
    <w:rsid w:val="00D03017"/>
    <w:rsid w:val="00D04044"/>
    <w:rsid w:val="00D0511B"/>
    <w:rsid w:val="00D0733C"/>
    <w:rsid w:val="00D07B75"/>
    <w:rsid w:val="00D10526"/>
    <w:rsid w:val="00D11795"/>
    <w:rsid w:val="00D12B77"/>
    <w:rsid w:val="00D139FC"/>
    <w:rsid w:val="00D14A82"/>
    <w:rsid w:val="00D166B4"/>
    <w:rsid w:val="00D166C3"/>
    <w:rsid w:val="00D1683F"/>
    <w:rsid w:val="00D2090F"/>
    <w:rsid w:val="00D23037"/>
    <w:rsid w:val="00D23862"/>
    <w:rsid w:val="00D24505"/>
    <w:rsid w:val="00D2553A"/>
    <w:rsid w:val="00D2573E"/>
    <w:rsid w:val="00D26723"/>
    <w:rsid w:val="00D26BAC"/>
    <w:rsid w:val="00D31652"/>
    <w:rsid w:val="00D3290D"/>
    <w:rsid w:val="00D32930"/>
    <w:rsid w:val="00D32E5F"/>
    <w:rsid w:val="00D33BD7"/>
    <w:rsid w:val="00D33D74"/>
    <w:rsid w:val="00D343D6"/>
    <w:rsid w:val="00D350CC"/>
    <w:rsid w:val="00D35713"/>
    <w:rsid w:val="00D408AA"/>
    <w:rsid w:val="00D40A61"/>
    <w:rsid w:val="00D416DB"/>
    <w:rsid w:val="00D41CC5"/>
    <w:rsid w:val="00D44594"/>
    <w:rsid w:val="00D506EA"/>
    <w:rsid w:val="00D50FDE"/>
    <w:rsid w:val="00D51BF4"/>
    <w:rsid w:val="00D53788"/>
    <w:rsid w:val="00D53D8A"/>
    <w:rsid w:val="00D557FA"/>
    <w:rsid w:val="00D55D96"/>
    <w:rsid w:val="00D560A8"/>
    <w:rsid w:val="00D575A4"/>
    <w:rsid w:val="00D604E0"/>
    <w:rsid w:val="00D60BD6"/>
    <w:rsid w:val="00D626D4"/>
    <w:rsid w:val="00D6273F"/>
    <w:rsid w:val="00D62E55"/>
    <w:rsid w:val="00D63CC2"/>
    <w:rsid w:val="00D64520"/>
    <w:rsid w:val="00D64AC1"/>
    <w:rsid w:val="00D65350"/>
    <w:rsid w:val="00D65C91"/>
    <w:rsid w:val="00D65EC2"/>
    <w:rsid w:val="00D67EA5"/>
    <w:rsid w:val="00D67F6A"/>
    <w:rsid w:val="00D702B2"/>
    <w:rsid w:val="00D706FC"/>
    <w:rsid w:val="00D707F8"/>
    <w:rsid w:val="00D73594"/>
    <w:rsid w:val="00D7407E"/>
    <w:rsid w:val="00D75B80"/>
    <w:rsid w:val="00D76A5C"/>
    <w:rsid w:val="00D76DBF"/>
    <w:rsid w:val="00D812D2"/>
    <w:rsid w:val="00D838E9"/>
    <w:rsid w:val="00D84A20"/>
    <w:rsid w:val="00D92B6F"/>
    <w:rsid w:val="00D9331C"/>
    <w:rsid w:val="00D9462C"/>
    <w:rsid w:val="00D95214"/>
    <w:rsid w:val="00D96DE0"/>
    <w:rsid w:val="00DA08DA"/>
    <w:rsid w:val="00DA0BE0"/>
    <w:rsid w:val="00DA0E1F"/>
    <w:rsid w:val="00DA2FE8"/>
    <w:rsid w:val="00DA3B98"/>
    <w:rsid w:val="00DA44D5"/>
    <w:rsid w:val="00DA5441"/>
    <w:rsid w:val="00DA5A07"/>
    <w:rsid w:val="00DA5ADA"/>
    <w:rsid w:val="00DA6B33"/>
    <w:rsid w:val="00DA719B"/>
    <w:rsid w:val="00DA74F4"/>
    <w:rsid w:val="00DA7618"/>
    <w:rsid w:val="00DA769E"/>
    <w:rsid w:val="00DA79D8"/>
    <w:rsid w:val="00DB2DEF"/>
    <w:rsid w:val="00DB32DE"/>
    <w:rsid w:val="00DB5498"/>
    <w:rsid w:val="00DB5BD9"/>
    <w:rsid w:val="00DB5EFD"/>
    <w:rsid w:val="00DB6029"/>
    <w:rsid w:val="00DB6582"/>
    <w:rsid w:val="00DB7C90"/>
    <w:rsid w:val="00DC0BBA"/>
    <w:rsid w:val="00DC2433"/>
    <w:rsid w:val="00DC26EA"/>
    <w:rsid w:val="00DC6D99"/>
    <w:rsid w:val="00DC7408"/>
    <w:rsid w:val="00DD041B"/>
    <w:rsid w:val="00DD0468"/>
    <w:rsid w:val="00DD271C"/>
    <w:rsid w:val="00DD2A9F"/>
    <w:rsid w:val="00DD43CF"/>
    <w:rsid w:val="00DE2B21"/>
    <w:rsid w:val="00DE407A"/>
    <w:rsid w:val="00DE4E0E"/>
    <w:rsid w:val="00DE5192"/>
    <w:rsid w:val="00DE6F67"/>
    <w:rsid w:val="00DE7445"/>
    <w:rsid w:val="00DF01EA"/>
    <w:rsid w:val="00DF100B"/>
    <w:rsid w:val="00DF5A8C"/>
    <w:rsid w:val="00DF651A"/>
    <w:rsid w:val="00DF7700"/>
    <w:rsid w:val="00E00384"/>
    <w:rsid w:val="00E004F6"/>
    <w:rsid w:val="00E00B28"/>
    <w:rsid w:val="00E013A5"/>
    <w:rsid w:val="00E0385F"/>
    <w:rsid w:val="00E04A03"/>
    <w:rsid w:val="00E078BD"/>
    <w:rsid w:val="00E07B32"/>
    <w:rsid w:val="00E11B5E"/>
    <w:rsid w:val="00E12BEE"/>
    <w:rsid w:val="00E14456"/>
    <w:rsid w:val="00E144D9"/>
    <w:rsid w:val="00E167C8"/>
    <w:rsid w:val="00E167F7"/>
    <w:rsid w:val="00E17930"/>
    <w:rsid w:val="00E20391"/>
    <w:rsid w:val="00E20A1B"/>
    <w:rsid w:val="00E21269"/>
    <w:rsid w:val="00E21CD7"/>
    <w:rsid w:val="00E23814"/>
    <w:rsid w:val="00E24B7F"/>
    <w:rsid w:val="00E266BF"/>
    <w:rsid w:val="00E26815"/>
    <w:rsid w:val="00E27B21"/>
    <w:rsid w:val="00E302A3"/>
    <w:rsid w:val="00E306D4"/>
    <w:rsid w:val="00E30D65"/>
    <w:rsid w:val="00E3116A"/>
    <w:rsid w:val="00E31C8D"/>
    <w:rsid w:val="00E332F2"/>
    <w:rsid w:val="00E35A46"/>
    <w:rsid w:val="00E37B53"/>
    <w:rsid w:val="00E42031"/>
    <w:rsid w:val="00E421A6"/>
    <w:rsid w:val="00E43993"/>
    <w:rsid w:val="00E451CB"/>
    <w:rsid w:val="00E45676"/>
    <w:rsid w:val="00E4620A"/>
    <w:rsid w:val="00E463EB"/>
    <w:rsid w:val="00E47628"/>
    <w:rsid w:val="00E50AE4"/>
    <w:rsid w:val="00E52252"/>
    <w:rsid w:val="00E53138"/>
    <w:rsid w:val="00E54194"/>
    <w:rsid w:val="00E55261"/>
    <w:rsid w:val="00E5563E"/>
    <w:rsid w:val="00E55B5F"/>
    <w:rsid w:val="00E60812"/>
    <w:rsid w:val="00E61770"/>
    <w:rsid w:val="00E61ABE"/>
    <w:rsid w:val="00E61AD0"/>
    <w:rsid w:val="00E61F24"/>
    <w:rsid w:val="00E6477E"/>
    <w:rsid w:val="00E64814"/>
    <w:rsid w:val="00E65B3A"/>
    <w:rsid w:val="00E70D3B"/>
    <w:rsid w:val="00E72073"/>
    <w:rsid w:val="00E72C6A"/>
    <w:rsid w:val="00E72DD4"/>
    <w:rsid w:val="00E7473C"/>
    <w:rsid w:val="00E74A5B"/>
    <w:rsid w:val="00E75939"/>
    <w:rsid w:val="00E76776"/>
    <w:rsid w:val="00E774BA"/>
    <w:rsid w:val="00E80789"/>
    <w:rsid w:val="00E8106D"/>
    <w:rsid w:val="00E81AEF"/>
    <w:rsid w:val="00E839E5"/>
    <w:rsid w:val="00E84D7E"/>
    <w:rsid w:val="00E85ED5"/>
    <w:rsid w:val="00E86053"/>
    <w:rsid w:val="00E86263"/>
    <w:rsid w:val="00E86441"/>
    <w:rsid w:val="00E87A0E"/>
    <w:rsid w:val="00E936A6"/>
    <w:rsid w:val="00E93BE5"/>
    <w:rsid w:val="00E942C0"/>
    <w:rsid w:val="00E94537"/>
    <w:rsid w:val="00E94E2D"/>
    <w:rsid w:val="00E96CA8"/>
    <w:rsid w:val="00E96DA9"/>
    <w:rsid w:val="00E97A79"/>
    <w:rsid w:val="00EA2E6D"/>
    <w:rsid w:val="00EA3EF0"/>
    <w:rsid w:val="00EA4586"/>
    <w:rsid w:val="00EA493E"/>
    <w:rsid w:val="00EA5677"/>
    <w:rsid w:val="00EA7408"/>
    <w:rsid w:val="00EB0C24"/>
    <w:rsid w:val="00EB186F"/>
    <w:rsid w:val="00EB1969"/>
    <w:rsid w:val="00EB19B8"/>
    <w:rsid w:val="00EB2E7E"/>
    <w:rsid w:val="00EB399F"/>
    <w:rsid w:val="00EB4E8D"/>
    <w:rsid w:val="00EB6590"/>
    <w:rsid w:val="00EB686C"/>
    <w:rsid w:val="00EB6A4B"/>
    <w:rsid w:val="00EB7850"/>
    <w:rsid w:val="00EB7EC2"/>
    <w:rsid w:val="00EC0109"/>
    <w:rsid w:val="00EC0442"/>
    <w:rsid w:val="00EC0D5F"/>
    <w:rsid w:val="00EC5AAF"/>
    <w:rsid w:val="00EC633E"/>
    <w:rsid w:val="00EC6AF7"/>
    <w:rsid w:val="00ED00D6"/>
    <w:rsid w:val="00ED09EF"/>
    <w:rsid w:val="00ED1171"/>
    <w:rsid w:val="00ED1C02"/>
    <w:rsid w:val="00ED1D43"/>
    <w:rsid w:val="00ED2644"/>
    <w:rsid w:val="00ED300A"/>
    <w:rsid w:val="00ED5C81"/>
    <w:rsid w:val="00EE030B"/>
    <w:rsid w:val="00EE1A2A"/>
    <w:rsid w:val="00EE2015"/>
    <w:rsid w:val="00EE295D"/>
    <w:rsid w:val="00EE3F8C"/>
    <w:rsid w:val="00EE5F93"/>
    <w:rsid w:val="00EE6B1A"/>
    <w:rsid w:val="00EE6B27"/>
    <w:rsid w:val="00EF01D4"/>
    <w:rsid w:val="00EF05C4"/>
    <w:rsid w:val="00EF093C"/>
    <w:rsid w:val="00EF099D"/>
    <w:rsid w:val="00EF0C9F"/>
    <w:rsid w:val="00EF17E1"/>
    <w:rsid w:val="00EF1C09"/>
    <w:rsid w:val="00EF2C85"/>
    <w:rsid w:val="00EF36EF"/>
    <w:rsid w:val="00EF41EA"/>
    <w:rsid w:val="00EF603A"/>
    <w:rsid w:val="00EF7A6B"/>
    <w:rsid w:val="00F00F63"/>
    <w:rsid w:val="00F01759"/>
    <w:rsid w:val="00F0210A"/>
    <w:rsid w:val="00F0297F"/>
    <w:rsid w:val="00F02A92"/>
    <w:rsid w:val="00F02C9C"/>
    <w:rsid w:val="00F04698"/>
    <w:rsid w:val="00F05CA7"/>
    <w:rsid w:val="00F06C7D"/>
    <w:rsid w:val="00F077D0"/>
    <w:rsid w:val="00F07F06"/>
    <w:rsid w:val="00F10C65"/>
    <w:rsid w:val="00F10CAB"/>
    <w:rsid w:val="00F11C25"/>
    <w:rsid w:val="00F13206"/>
    <w:rsid w:val="00F13877"/>
    <w:rsid w:val="00F14CB7"/>
    <w:rsid w:val="00F1500D"/>
    <w:rsid w:val="00F15651"/>
    <w:rsid w:val="00F2011E"/>
    <w:rsid w:val="00F2083E"/>
    <w:rsid w:val="00F20BF2"/>
    <w:rsid w:val="00F21914"/>
    <w:rsid w:val="00F232B0"/>
    <w:rsid w:val="00F23FB5"/>
    <w:rsid w:val="00F25D9A"/>
    <w:rsid w:val="00F2630A"/>
    <w:rsid w:val="00F26607"/>
    <w:rsid w:val="00F27E8E"/>
    <w:rsid w:val="00F30C24"/>
    <w:rsid w:val="00F30DF3"/>
    <w:rsid w:val="00F316A0"/>
    <w:rsid w:val="00F3190E"/>
    <w:rsid w:val="00F3477B"/>
    <w:rsid w:val="00F35245"/>
    <w:rsid w:val="00F353E6"/>
    <w:rsid w:val="00F36E02"/>
    <w:rsid w:val="00F3796A"/>
    <w:rsid w:val="00F40804"/>
    <w:rsid w:val="00F409E5"/>
    <w:rsid w:val="00F4262E"/>
    <w:rsid w:val="00F42B29"/>
    <w:rsid w:val="00F42B32"/>
    <w:rsid w:val="00F43D5F"/>
    <w:rsid w:val="00F4669F"/>
    <w:rsid w:val="00F47EA1"/>
    <w:rsid w:val="00F50113"/>
    <w:rsid w:val="00F51412"/>
    <w:rsid w:val="00F548AC"/>
    <w:rsid w:val="00F55882"/>
    <w:rsid w:val="00F57BCD"/>
    <w:rsid w:val="00F60618"/>
    <w:rsid w:val="00F6180C"/>
    <w:rsid w:val="00F62148"/>
    <w:rsid w:val="00F62701"/>
    <w:rsid w:val="00F644D0"/>
    <w:rsid w:val="00F66487"/>
    <w:rsid w:val="00F71229"/>
    <w:rsid w:val="00F72BA4"/>
    <w:rsid w:val="00F74B6C"/>
    <w:rsid w:val="00F74BF4"/>
    <w:rsid w:val="00F75502"/>
    <w:rsid w:val="00F7618B"/>
    <w:rsid w:val="00F76D22"/>
    <w:rsid w:val="00F7722A"/>
    <w:rsid w:val="00F77859"/>
    <w:rsid w:val="00F77F90"/>
    <w:rsid w:val="00F81646"/>
    <w:rsid w:val="00F82CA8"/>
    <w:rsid w:val="00F85AB2"/>
    <w:rsid w:val="00F85F23"/>
    <w:rsid w:val="00F86199"/>
    <w:rsid w:val="00F866A5"/>
    <w:rsid w:val="00F86C24"/>
    <w:rsid w:val="00F8729C"/>
    <w:rsid w:val="00F8787D"/>
    <w:rsid w:val="00F87B19"/>
    <w:rsid w:val="00F87C4A"/>
    <w:rsid w:val="00F9022B"/>
    <w:rsid w:val="00F90591"/>
    <w:rsid w:val="00F911DE"/>
    <w:rsid w:val="00F91289"/>
    <w:rsid w:val="00F9299B"/>
    <w:rsid w:val="00F92B30"/>
    <w:rsid w:val="00F92FD8"/>
    <w:rsid w:val="00F93CA8"/>
    <w:rsid w:val="00F94029"/>
    <w:rsid w:val="00F95E23"/>
    <w:rsid w:val="00F9609D"/>
    <w:rsid w:val="00F97919"/>
    <w:rsid w:val="00F97C4B"/>
    <w:rsid w:val="00FA1CE2"/>
    <w:rsid w:val="00FA234F"/>
    <w:rsid w:val="00FA3B2A"/>
    <w:rsid w:val="00FA44E1"/>
    <w:rsid w:val="00FA4B7A"/>
    <w:rsid w:val="00FA5F7A"/>
    <w:rsid w:val="00FA61AE"/>
    <w:rsid w:val="00FA658D"/>
    <w:rsid w:val="00FB2163"/>
    <w:rsid w:val="00FB26F2"/>
    <w:rsid w:val="00FB3316"/>
    <w:rsid w:val="00FB359B"/>
    <w:rsid w:val="00FB3A7F"/>
    <w:rsid w:val="00FB3D5A"/>
    <w:rsid w:val="00FB4831"/>
    <w:rsid w:val="00FB4A9F"/>
    <w:rsid w:val="00FB71B4"/>
    <w:rsid w:val="00FC062B"/>
    <w:rsid w:val="00FC06D0"/>
    <w:rsid w:val="00FC2F2C"/>
    <w:rsid w:val="00FC3933"/>
    <w:rsid w:val="00FC4E64"/>
    <w:rsid w:val="00FC734C"/>
    <w:rsid w:val="00FD01BB"/>
    <w:rsid w:val="00FD0F4C"/>
    <w:rsid w:val="00FD1749"/>
    <w:rsid w:val="00FD465E"/>
    <w:rsid w:val="00FD4B80"/>
    <w:rsid w:val="00FD7AE0"/>
    <w:rsid w:val="00FD7CCC"/>
    <w:rsid w:val="00FE0D9C"/>
    <w:rsid w:val="00FE2F0D"/>
    <w:rsid w:val="00FE3ED1"/>
    <w:rsid w:val="00FE543A"/>
    <w:rsid w:val="00FE586B"/>
    <w:rsid w:val="00FE5EB6"/>
    <w:rsid w:val="00FE78CB"/>
    <w:rsid w:val="00FF2BB4"/>
    <w:rsid w:val="00FF41D4"/>
    <w:rsid w:val="00FF6049"/>
    <w:rsid w:val="00FF6C17"/>
    <w:rsid w:val="00FF78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0"/>
    <w:lsdException w:name="toc 4" w:uiPriority="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qFormat="1"/>
    <w:lsdException w:name="List Bullet 2" w:uiPriority="0" w:qFormat="1"/>
    <w:lsdException w:name="List Bullet 3" w:qFormat="1"/>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217"/>
    <w:pPr>
      <w:spacing w:after="160" w:line="259" w:lineRule="auto"/>
    </w:pPr>
    <w:rPr>
      <w:sz w:val="22"/>
      <w:szCs w:val="22"/>
      <w:lang w:val="ro-RO" w:eastAsia="en-US"/>
    </w:rPr>
  </w:style>
  <w:style w:type="paragraph" w:styleId="Heading1">
    <w:name w:val="heading 1"/>
    <w:basedOn w:val="Normal"/>
    <w:link w:val="Heading1Char"/>
    <w:qFormat/>
    <w:rsid w:val="006F59C2"/>
    <w:pPr>
      <w:autoSpaceDE w:val="0"/>
      <w:autoSpaceDN w:val="0"/>
      <w:spacing w:after="0" w:line="240" w:lineRule="auto"/>
      <w:ind w:left="1198" w:right="260" w:hanging="720"/>
      <w:outlineLvl w:val="0"/>
    </w:pPr>
    <w:rPr>
      <w:rFonts w:ascii="Times New Roman" w:hAnsi="Times New Roman"/>
      <w:b/>
      <w:bCs/>
      <w:kern w:val="36"/>
      <w:sz w:val="24"/>
      <w:szCs w:val="24"/>
      <w:lang w:eastAsia="ro-RO"/>
    </w:rPr>
  </w:style>
  <w:style w:type="paragraph" w:styleId="Heading2">
    <w:name w:val="heading 2"/>
    <w:aliases w:val="Major,2,(cntl 2),Ü2-DVG,h2,level 2,Subhead A,H2,Titre m"/>
    <w:basedOn w:val="Normal"/>
    <w:next w:val="Normal"/>
    <w:link w:val="Heading2Char"/>
    <w:qFormat/>
    <w:rsid w:val="00A06DAA"/>
    <w:pPr>
      <w:keepNext/>
      <w:tabs>
        <w:tab w:val="num" w:pos="576"/>
      </w:tabs>
      <w:spacing w:before="360" w:after="240" w:line="240" w:lineRule="auto"/>
      <w:ind w:left="576" w:hanging="576"/>
      <w:outlineLvl w:val="1"/>
    </w:pPr>
    <w:rPr>
      <w:rFonts w:ascii="Times New Roman" w:eastAsia="Times New Roman" w:hAnsi="Times New Roman"/>
      <w:b/>
      <w:smallCaps/>
      <w:sz w:val="24"/>
      <w:szCs w:val="20"/>
      <w:lang w:val="en-GB"/>
    </w:rPr>
  </w:style>
  <w:style w:type="paragraph" w:styleId="Heading3">
    <w:name w:val="heading 3"/>
    <w:aliases w:val="No Indent"/>
    <w:basedOn w:val="Normal"/>
    <w:next w:val="Normal"/>
    <w:link w:val="Heading3Char"/>
    <w:qFormat/>
    <w:rsid w:val="00A06DAA"/>
    <w:pPr>
      <w:keepNext/>
      <w:tabs>
        <w:tab w:val="num" w:pos="720"/>
      </w:tabs>
      <w:spacing w:before="240" w:after="120" w:line="240" w:lineRule="auto"/>
      <w:ind w:left="720" w:hanging="720"/>
      <w:outlineLvl w:val="2"/>
    </w:pPr>
    <w:rPr>
      <w:rFonts w:ascii="Times New Roman" w:eastAsia="Times New Roman" w:hAnsi="Times New Roman"/>
      <w:b/>
      <w:sz w:val="24"/>
      <w:szCs w:val="20"/>
      <w:lang w:val="it-IT"/>
    </w:rPr>
  </w:style>
  <w:style w:type="paragraph" w:styleId="Heading4">
    <w:name w:val="heading 4"/>
    <w:basedOn w:val="Normal"/>
    <w:next w:val="Normal"/>
    <w:link w:val="Heading4Char"/>
    <w:qFormat/>
    <w:rsid w:val="00A06DAA"/>
    <w:pPr>
      <w:keepNext/>
      <w:tabs>
        <w:tab w:val="num" w:pos="864"/>
      </w:tabs>
      <w:spacing w:before="360" w:after="120" w:line="240" w:lineRule="auto"/>
      <w:ind w:left="864" w:hanging="864"/>
      <w:outlineLvl w:val="3"/>
    </w:pPr>
    <w:rPr>
      <w:rFonts w:ascii="Times New Roman" w:eastAsia="Times New Roman" w:hAnsi="Times New Roman"/>
      <w:sz w:val="26"/>
      <w:szCs w:val="20"/>
      <w:lang w:val="it-IT"/>
    </w:rPr>
  </w:style>
  <w:style w:type="paragraph" w:styleId="Heading5">
    <w:name w:val="heading 5"/>
    <w:basedOn w:val="Normal"/>
    <w:next w:val="Normal"/>
    <w:link w:val="Heading5Char"/>
    <w:qFormat/>
    <w:rsid w:val="00A06DAA"/>
    <w:pPr>
      <w:keepNext/>
      <w:tabs>
        <w:tab w:val="num" w:pos="1080"/>
      </w:tabs>
      <w:spacing w:before="240" w:after="60" w:line="240" w:lineRule="auto"/>
      <w:ind w:left="1008" w:hanging="1008"/>
      <w:outlineLvl w:val="4"/>
    </w:pPr>
    <w:rPr>
      <w:rFonts w:ascii="Times New Roman" w:eastAsia="Times New Roman" w:hAnsi="Times New Roman"/>
      <w:sz w:val="24"/>
      <w:szCs w:val="20"/>
      <w:lang w:val="en-GB"/>
    </w:rPr>
  </w:style>
  <w:style w:type="paragraph" w:styleId="Heading6">
    <w:name w:val="heading 6"/>
    <w:basedOn w:val="Normal"/>
    <w:next w:val="Normal"/>
    <w:link w:val="Heading6Char"/>
    <w:qFormat/>
    <w:rsid w:val="00A06DAA"/>
    <w:pPr>
      <w:tabs>
        <w:tab w:val="left" w:pos="567"/>
        <w:tab w:val="num" w:pos="1277"/>
      </w:tabs>
      <w:spacing w:before="120" w:after="120" w:line="300" w:lineRule="atLeast"/>
      <w:ind w:left="1277" w:hanging="567"/>
      <w:jc w:val="both"/>
      <w:outlineLvl w:val="5"/>
    </w:pPr>
    <w:rPr>
      <w:rFonts w:ascii="Times New Roman" w:eastAsia="Times New Roman" w:hAnsi="Times New Roman"/>
      <w:sz w:val="24"/>
      <w:szCs w:val="20"/>
      <w:lang w:val="en-GB"/>
    </w:rPr>
  </w:style>
  <w:style w:type="paragraph" w:styleId="Heading7">
    <w:name w:val="heading 7"/>
    <w:basedOn w:val="Normal"/>
    <w:next w:val="Normal"/>
    <w:link w:val="Heading7Char"/>
    <w:qFormat/>
    <w:rsid w:val="00A06DAA"/>
    <w:pPr>
      <w:tabs>
        <w:tab w:val="left" w:pos="567"/>
        <w:tab w:val="num" w:pos="1288"/>
      </w:tabs>
      <w:spacing w:before="80" w:after="80" w:line="300" w:lineRule="atLeast"/>
      <w:ind w:left="1135" w:hanging="567"/>
      <w:jc w:val="both"/>
      <w:outlineLvl w:val="6"/>
    </w:pPr>
    <w:rPr>
      <w:rFonts w:ascii="Times New Roman" w:eastAsia="Times New Roman" w:hAnsi="Times New Roman"/>
      <w:sz w:val="24"/>
      <w:szCs w:val="20"/>
      <w:lang w:val="en-US"/>
    </w:rPr>
  </w:style>
  <w:style w:type="paragraph" w:styleId="Heading8">
    <w:name w:val="heading 8"/>
    <w:aliases w:val="Heading 4 Text"/>
    <w:basedOn w:val="Normal"/>
    <w:next w:val="Normal"/>
    <w:link w:val="Heading8Char"/>
    <w:qFormat/>
    <w:rsid w:val="00A06DAA"/>
    <w:pPr>
      <w:tabs>
        <w:tab w:val="num" w:pos="1701"/>
      </w:tabs>
      <w:spacing w:before="60" w:after="60" w:line="300" w:lineRule="atLeast"/>
      <w:ind w:left="1701" w:hanging="567"/>
      <w:jc w:val="both"/>
      <w:outlineLvl w:val="7"/>
    </w:pPr>
    <w:rPr>
      <w:rFonts w:ascii="Times New Roman" w:eastAsia="Times New Roman" w:hAnsi="Times New Roman"/>
      <w:sz w:val="24"/>
      <w:szCs w:val="20"/>
      <w:lang w:val="it-IT"/>
    </w:rPr>
  </w:style>
  <w:style w:type="paragraph" w:styleId="Heading9">
    <w:name w:val="heading 9"/>
    <w:basedOn w:val="Normal"/>
    <w:next w:val="Normal"/>
    <w:link w:val="Heading9Char"/>
    <w:qFormat/>
    <w:rsid w:val="00A06DAA"/>
    <w:pPr>
      <w:tabs>
        <w:tab w:val="num" w:pos="1584"/>
      </w:tabs>
      <w:spacing w:before="240" w:after="60" w:line="240" w:lineRule="auto"/>
      <w:ind w:left="1584" w:hanging="1584"/>
      <w:outlineLvl w:val="8"/>
    </w:pPr>
    <w:rPr>
      <w:rFonts w:ascii="Arial" w:eastAsia="Times New Roman" w:hAnsi="Arial"/>
      <w:b/>
      <w:i/>
      <w:sz w:val="18"/>
      <w:szCs w:val="20"/>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4261"/>
    <w:pPr>
      <w:ind w:left="720"/>
      <w:contextualSpacing/>
    </w:pPr>
  </w:style>
  <w:style w:type="paragraph" w:styleId="BalloonText">
    <w:name w:val="Balloon Text"/>
    <w:basedOn w:val="Normal"/>
    <w:link w:val="BalloonTextChar"/>
    <w:semiHidden/>
    <w:unhideWhenUsed/>
    <w:rsid w:val="00CF6F6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F6F62"/>
    <w:rPr>
      <w:rFonts w:ascii="Segoe UI" w:hAnsi="Segoe UI" w:cs="Segoe UI"/>
      <w:sz w:val="18"/>
      <w:szCs w:val="18"/>
    </w:rPr>
  </w:style>
  <w:style w:type="character" w:styleId="CommentReference">
    <w:name w:val="annotation reference"/>
    <w:unhideWhenUsed/>
    <w:rsid w:val="00F35245"/>
    <w:rPr>
      <w:sz w:val="16"/>
      <w:szCs w:val="16"/>
    </w:rPr>
  </w:style>
  <w:style w:type="paragraph" w:styleId="CommentText">
    <w:name w:val="annotation text"/>
    <w:basedOn w:val="Normal"/>
    <w:link w:val="CommentTextChar"/>
    <w:unhideWhenUsed/>
    <w:rsid w:val="00F35245"/>
    <w:pPr>
      <w:spacing w:line="240" w:lineRule="auto"/>
    </w:pPr>
    <w:rPr>
      <w:sz w:val="20"/>
      <w:szCs w:val="20"/>
    </w:rPr>
  </w:style>
  <w:style w:type="character" w:customStyle="1" w:styleId="CommentTextChar">
    <w:name w:val="Comment Text Char"/>
    <w:link w:val="CommentText"/>
    <w:rsid w:val="00F35245"/>
    <w:rPr>
      <w:sz w:val="20"/>
      <w:szCs w:val="20"/>
    </w:rPr>
  </w:style>
  <w:style w:type="paragraph" w:styleId="CommentSubject">
    <w:name w:val="annotation subject"/>
    <w:basedOn w:val="CommentText"/>
    <w:next w:val="CommentText"/>
    <w:link w:val="CommentSubjectChar"/>
    <w:unhideWhenUsed/>
    <w:rsid w:val="00F35245"/>
    <w:rPr>
      <w:b/>
      <w:bCs/>
    </w:rPr>
  </w:style>
  <w:style w:type="character" w:customStyle="1" w:styleId="CommentSubjectChar">
    <w:name w:val="Comment Subject Char"/>
    <w:link w:val="CommentSubject"/>
    <w:rsid w:val="00F35245"/>
    <w:rPr>
      <w:b/>
      <w:bCs/>
      <w:sz w:val="20"/>
      <w:szCs w:val="20"/>
    </w:rPr>
  </w:style>
  <w:style w:type="paragraph" w:styleId="Header">
    <w:name w:val="header"/>
    <w:basedOn w:val="Normal"/>
    <w:link w:val="HeaderChar"/>
    <w:unhideWhenUsed/>
    <w:rsid w:val="00387F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7F5B"/>
  </w:style>
  <w:style w:type="paragraph" w:styleId="Footer">
    <w:name w:val="footer"/>
    <w:basedOn w:val="Normal"/>
    <w:link w:val="FooterChar"/>
    <w:uiPriority w:val="99"/>
    <w:unhideWhenUsed/>
    <w:rsid w:val="00387F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7F5B"/>
  </w:style>
  <w:style w:type="table" w:styleId="TableGrid">
    <w:name w:val="Table Grid"/>
    <w:basedOn w:val="TableNormal"/>
    <w:uiPriority w:val="39"/>
    <w:rsid w:val="006412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Bullet">
    <w:name w:val="Body text - Bullet"/>
    <w:basedOn w:val="BodyTextIndent"/>
    <w:rsid w:val="00D53D8A"/>
    <w:pPr>
      <w:numPr>
        <w:numId w:val="1"/>
      </w:numPr>
      <w:tabs>
        <w:tab w:val="clear" w:pos="360"/>
      </w:tabs>
      <w:spacing w:line="300" w:lineRule="atLeast"/>
      <w:ind w:left="1440"/>
      <w:jc w:val="both"/>
    </w:pPr>
    <w:rPr>
      <w:rFonts w:ascii="Times New Roman" w:eastAsia="Times New Roman" w:hAnsi="Times New Roman"/>
      <w:szCs w:val="20"/>
      <w:lang w:val="en-US"/>
    </w:rPr>
  </w:style>
  <w:style w:type="paragraph" w:styleId="BodyTextIndent">
    <w:name w:val="Body Text Indent"/>
    <w:basedOn w:val="Normal"/>
    <w:link w:val="BodyTextIndentChar"/>
    <w:unhideWhenUsed/>
    <w:rsid w:val="00D53D8A"/>
    <w:pPr>
      <w:spacing w:after="120"/>
      <w:ind w:left="283"/>
    </w:pPr>
  </w:style>
  <w:style w:type="character" w:customStyle="1" w:styleId="BodyTextIndentChar">
    <w:name w:val="Body Text Indent Char"/>
    <w:basedOn w:val="DefaultParagraphFont"/>
    <w:link w:val="BodyTextIndent"/>
    <w:uiPriority w:val="99"/>
    <w:semiHidden/>
    <w:rsid w:val="00D53D8A"/>
  </w:style>
  <w:style w:type="paragraph" w:styleId="BodyText2">
    <w:name w:val="Body Text 2"/>
    <w:basedOn w:val="Normal"/>
    <w:link w:val="BodyText2Char"/>
    <w:unhideWhenUsed/>
    <w:rsid w:val="00683A30"/>
    <w:pPr>
      <w:spacing w:after="120" w:line="480" w:lineRule="auto"/>
    </w:pPr>
  </w:style>
  <w:style w:type="character" w:customStyle="1" w:styleId="BodyText2Char">
    <w:name w:val="Body Text 2 Char"/>
    <w:basedOn w:val="DefaultParagraphFont"/>
    <w:link w:val="BodyText2"/>
    <w:rsid w:val="00683A30"/>
  </w:style>
  <w:style w:type="paragraph" w:customStyle="1" w:styleId="Default">
    <w:name w:val="Default"/>
    <w:rsid w:val="009D492C"/>
    <w:pPr>
      <w:autoSpaceDE w:val="0"/>
      <w:autoSpaceDN w:val="0"/>
      <w:adjustRightInd w:val="0"/>
    </w:pPr>
    <w:rPr>
      <w:rFonts w:ascii="Times New Roman" w:hAnsi="Times New Roman"/>
      <w:color w:val="000000"/>
      <w:sz w:val="24"/>
      <w:szCs w:val="24"/>
      <w:lang w:val="en-US" w:eastAsia="en-US"/>
    </w:rPr>
  </w:style>
  <w:style w:type="character" w:customStyle="1" w:styleId="Heading1Char">
    <w:name w:val="Heading 1 Char"/>
    <w:link w:val="Heading1"/>
    <w:uiPriority w:val="1"/>
    <w:rsid w:val="006F59C2"/>
    <w:rPr>
      <w:rFonts w:ascii="Times New Roman" w:hAnsi="Times New Roman" w:cs="Times New Roman"/>
      <w:b/>
      <w:bCs/>
      <w:kern w:val="36"/>
      <w:sz w:val="24"/>
      <w:szCs w:val="24"/>
      <w:lang w:eastAsia="ro-RO"/>
    </w:rPr>
  </w:style>
  <w:style w:type="paragraph" w:styleId="BodyText">
    <w:name w:val="Body Text"/>
    <w:basedOn w:val="Normal"/>
    <w:link w:val="BodyTextChar"/>
    <w:unhideWhenUsed/>
    <w:qFormat/>
    <w:rsid w:val="006F59C2"/>
    <w:pPr>
      <w:autoSpaceDE w:val="0"/>
      <w:autoSpaceDN w:val="0"/>
      <w:spacing w:after="0" w:line="240" w:lineRule="auto"/>
    </w:pPr>
    <w:rPr>
      <w:rFonts w:ascii="Times New Roman" w:hAnsi="Times New Roman"/>
      <w:sz w:val="24"/>
      <w:szCs w:val="24"/>
      <w:lang w:eastAsia="ro-RO"/>
    </w:rPr>
  </w:style>
  <w:style w:type="character" w:customStyle="1" w:styleId="BodyTextChar">
    <w:name w:val="Body Text Char"/>
    <w:link w:val="BodyText"/>
    <w:rsid w:val="006F59C2"/>
    <w:rPr>
      <w:rFonts w:ascii="Times New Roman" w:hAnsi="Times New Roman" w:cs="Times New Roman"/>
      <w:sz w:val="24"/>
      <w:szCs w:val="24"/>
      <w:lang w:eastAsia="ro-RO"/>
    </w:rPr>
  </w:style>
  <w:style w:type="paragraph" w:styleId="ListBullet">
    <w:name w:val="List Bullet"/>
    <w:basedOn w:val="BodyText"/>
    <w:qFormat/>
    <w:rsid w:val="00946CEB"/>
    <w:pPr>
      <w:numPr>
        <w:numId w:val="2"/>
      </w:numPr>
      <w:autoSpaceDE/>
      <w:autoSpaceDN/>
      <w:spacing w:before="60" w:after="60"/>
    </w:pPr>
    <w:rPr>
      <w:rFonts w:ascii="Calibri" w:eastAsia="Times New Roman" w:hAnsi="Calibri"/>
      <w:sz w:val="22"/>
      <w:szCs w:val="22"/>
      <w:lang w:val="en-US" w:eastAsia="en-AU"/>
    </w:rPr>
  </w:style>
  <w:style w:type="paragraph" w:styleId="ListBullet2">
    <w:name w:val="List Bullet 2"/>
    <w:basedOn w:val="ListBullet"/>
    <w:qFormat/>
    <w:rsid w:val="00946CEB"/>
    <w:pPr>
      <w:numPr>
        <w:ilvl w:val="1"/>
      </w:numPr>
    </w:pPr>
  </w:style>
  <w:style w:type="paragraph" w:styleId="ListBullet3">
    <w:name w:val="List Bullet 3"/>
    <w:basedOn w:val="ListBullet"/>
    <w:uiPriority w:val="99"/>
    <w:qFormat/>
    <w:rsid w:val="00946CEB"/>
    <w:pPr>
      <w:numPr>
        <w:ilvl w:val="2"/>
      </w:numPr>
    </w:pPr>
  </w:style>
  <w:style w:type="paragraph" w:styleId="ListBullet4">
    <w:name w:val="List Bullet 4"/>
    <w:basedOn w:val="ListBullet2"/>
    <w:uiPriority w:val="99"/>
    <w:rsid w:val="00946CEB"/>
    <w:pPr>
      <w:numPr>
        <w:ilvl w:val="3"/>
      </w:numPr>
    </w:pPr>
  </w:style>
  <w:style w:type="paragraph" w:styleId="ListBullet5">
    <w:name w:val="List Bullet 5"/>
    <w:basedOn w:val="Normal"/>
    <w:uiPriority w:val="99"/>
    <w:unhideWhenUsed/>
    <w:rsid w:val="00946CEB"/>
    <w:pPr>
      <w:numPr>
        <w:ilvl w:val="4"/>
        <w:numId w:val="2"/>
      </w:numPr>
      <w:spacing w:after="0" w:line="240" w:lineRule="auto"/>
      <w:contextualSpacing/>
    </w:pPr>
    <w:rPr>
      <w:rFonts w:eastAsia="Times New Roman"/>
      <w:lang w:val="en-US" w:eastAsia="en-AU"/>
    </w:rPr>
  </w:style>
  <w:style w:type="paragraph" w:styleId="BodyTextIndent3">
    <w:name w:val="Body Text Indent 3"/>
    <w:basedOn w:val="Normal"/>
    <w:link w:val="BodyTextIndent3Char"/>
    <w:unhideWhenUsed/>
    <w:rsid w:val="00A06DAA"/>
    <w:pPr>
      <w:spacing w:after="120"/>
      <w:ind w:left="283"/>
    </w:pPr>
    <w:rPr>
      <w:sz w:val="16"/>
      <w:szCs w:val="16"/>
    </w:rPr>
  </w:style>
  <w:style w:type="character" w:customStyle="1" w:styleId="BodyTextIndent3Char">
    <w:name w:val="Body Text Indent 3 Char"/>
    <w:link w:val="BodyTextIndent3"/>
    <w:rsid w:val="00A06DAA"/>
    <w:rPr>
      <w:sz w:val="16"/>
      <w:szCs w:val="16"/>
    </w:rPr>
  </w:style>
  <w:style w:type="character" w:customStyle="1" w:styleId="Heading2Char">
    <w:name w:val="Heading 2 Char"/>
    <w:aliases w:val="Major Char,2 Char,(cntl 2) Char,Ü2-DVG Char,h2 Char,level 2 Char,Subhead A Char,H2 Char,Titre m Char"/>
    <w:link w:val="Heading2"/>
    <w:rsid w:val="00A06DAA"/>
    <w:rPr>
      <w:rFonts w:ascii="Times New Roman" w:eastAsia="Times New Roman" w:hAnsi="Times New Roman" w:cs="Times New Roman"/>
      <w:b/>
      <w:smallCaps/>
      <w:sz w:val="24"/>
      <w:szCs w:val="20"/>
      <w:lang w:val="en-GB"/>
    </w:rPr>
  </w:style>
  <w:style w:type="character" w:customStyle="1" w:styleId="Heading3Char">
    <w:name w:val="Heading 3 Char"/>
    <w:aliases w:val="No Indent Char"/>
    <w:link w:val="Heading3"/>
    <w:rsid w:val="00A06DAA"/>
    <w:rPr>
      <w:rFonts w:ascii="Times New Roman" w:eastAsia="Times New Roman" w:hAnsi="Times New Roman" w:cs="Times New Roman"/>
      <w:b/>
      <w:sz w:val="24"/>
      <w:szCs w:val="20"/>
      <w:lang w:val="it-IT"/>
    </w:rPr>
  </w:style>
  <w:style w:type="character" w:customStyle="1" w:styleId="Heading4Char">
    <w:name w:val="Heading 4 Char"/>
    <w:link w:val="Heading4"/>
    <w:rsid w:val="00A06DAA"/>
    <w:rPr>
      <w:rFonts w:ascii="Times New Roman" w:eastAsia="Times New Roman" w:hAnsi="Times New Roman" w:cs="Times New Roman"/>
      <w:sz w:val="26"/>
      <w:szCs w:val="20"/>
      <w:lang w:val="it-IT"/>
    </w:rPr>
  </w:style>
  <w:style w:type="character" w:customStyle="1" w:styleId="Heading5Char">
    <w:name w:val="Heading 5 Char"/>
    <w:link w:val="Heading5"/>
    <w:rsid w:val="00A06DAA"/>
    <w:rPr>
      <w:rFonts w:ascii="Times New Roman" w:eastAsia="Times New Roman" w:hAnsi="Times New Roman" w:cs="Times New Roman"/>
      <w:sz w:val="24"/>
      <w:szCs w:val="20"/>
      <w:lang w:val="en-GB"/>
    </w:rPr>
  </w:style>
  <w:style w:type="character" w:customStyle="1" w:styleId="Heading6Char">
    <w:name w:val="Heading 6 Char"/>
    <w:link w:val="Heading6"/>
    <w:rsid w:val="00A06DAA"/>
    <w:rPr>
      <w:rFonts w:ascii="Times New Roman" w:eastAsia="Times New Roman" w:hAnsi="Times New Roman" w:cs="Times New Roman"/>
      <w:sz w:val="24"/>
      <w:szCs w:val="20"/>
      <w:lang w:val="en-GB"/>
    </w:rPr>
  </w:style>
  <w:style w:type="character" w:customStyle="1" w:styleId="Heading7Char">
    <w:name w:val="Heading 7 Char"/>
    <w:link w:val="Heading7"/>
    <w:rsid w:val="00A06DAA"/>
    <w:rPr>
      <w:rFonts w:ascii="Times New Roman" w:eastAsia="Times New Roman" w:hAnsi="Times New Roman" w:cs="Times New Roman"/>
      <w:sz w:val="24"/>
      <w:szCs w:val="20"/>
      <w:lang w:val="en-US"/>
    </w:rPr>
  </w:style>
  <w:style w:type="character" w:customStyle="1" w:styleId="Heading8Char">
    <w:name w:val="Heading 8 Char"/>
    <w:aliases w:val="Heading 4 Text Char"/>
    <w:link w:val="Heading8"/>
    <w:rsid w:val="00A06DAA"/>
    <w:rPr>
      <w:rFonts w:ascii="Times New Roman" w:eastAsia="Times New Roman" w:hAnsi="Times New Roman" w:cs="Times New Roman"/>
      <w:sz w:val="24"/>
      <w:szCs w:val="20"/>
      <w:lang w:val="it-IT"/>
    </w:rPr>
  </w:style>
  <w:style w:type="character" w:customStyle="1" w:styleId="Heading9Char">
    <w:name w:val="Heading 9 Char"/>
    <w:link w:val="Heading9"/>
    <w:rsid w:val="00A06DAA"/>
    <w:rPr>
      <w:rFonts w:ascii="Arial" w:eastAsia="Times New Roman" w:hAnsi="Arial" w:cs="Times New Roman"/>
      <w:b/>
      <w:i/>
      <w:sz w:val="18"/>
      <w:szCs w:val="20"/>
      <w:lang w:val="it-IT"/>
    </w:rPr>
  </w:style>
  <w:style w:type="numbering" w:customStyle="1" w:styleId="NoList1">
    <w:name w:val="No List1"/>
    <w:next w:val="NoList"/>
    <w:semiHidden/>
    <w:rsid w:val="00A06DAA"/>
  </w:style>
  <w:style w:type="paragraph" w:styleId="Title">
    <w:name w:val="Title"/>
    <w:basedOn w:val="Normal"/>
    <w:link w:val="TitleChar"/>
    <w:qFormat/>
    <w:rsid w:val="00A06DAA"/>
    <w:pPr>
      <w:spacing w:after="0" w:line="240" w:lineRule="auto"/>
      <w:jc w:val="center"/>
    </w:pPr>
    <w:rPr>
      <w:rFonts w:ascii="TimesRomanR" w:eastAsia="Times New Roman" w:hAnsi="TimesRomanR"/>
      <w:b/>
      <w:sz w:val="24"/>
      <w:szCs w:val="20"/>
      <w:lang w:val="en-AU" w:eastAsia="ro-RO"/>
    </w:rPr>
  </w:style>
  <w:style w:type="character" w:customStyle="1" w:styleId="TitleChar">
    <w:name w:val="Title Char"/>
    <w:link w:val="Title"/>
    <w:rsid w:val="00A06DAA"/>
    <w:rPr>
      <w:rFonts w:ascii="TimesRomanR" w:eastAsia="Times New Roman" w:hAnsi="TimesRomanR" w:cs="Times New Roman"/>
      <w:b/>
      <w:sz w:val="24"/>
      <w:szCs w:val="20"/>
      <w:lang w:val="en-AU" w:eastAsia="ro-RO"/>
    </w:rPr>
  </w:style>
  <w:style w:type="paragraph" w:customStyle="1" w:styleId="TextnBalon1">
    <w:name w:val="Text în Balon1"/>
    <w:basedOn w:val="Normal"/>
    <w:semiHidden/>
    <w:rsid w:val="00A06DAA"/>
    <w:pPr>
      <w:spacing w:after="0" w:line="240" w:lineRule="auto"/>
    </w:pPr>
    <w:rPr>
      <w:rFonts w:ascii="Arial" w:eastAsia="Batang" w:hAnsi="Arial" w:cs="Arial"/>
      <w:sz w:val="16"/>
      <w:szCs w:val="16"/>
      <w:lang w:eastAsia="ko-KR"/>
    </w:rPr>
  </w:style>
  <w:style w:type="paragraph" w:styleId="BlockText">
    <w:name w:val="Block Text"/>
    <w:basedOn w:val="Normal"/>
    <w:rsid w:val="00A06DAA"/>
    <w:pPr>
      <w:tabs>
        <w:tab w:val="left" w:pos="0"/>
      </w:tabs>
      <w:spacing w:before="120" w:after="120" w:line="240" w:lineRule="auto"/>
      <w:ind w:left="578" w:right="335"/>
      <w:jc w:val="center"/>
    </w:pPr>
    <w:rPr>
      <w:rFonts w:ascii="Times New Roman" w:eastAsia="Times New Roman" w:hAnsi="Times New Roman"/>
      <w:sz w:val="28"/>
      <w:szCs w:val="20"/>
      <w:lang w:val="en-GB"/>
    </w:rPr>
  </w:style>
  <w:style w:type="paragraph" w:styleId="BodyText3">
    <w:name w:val="Body Text 3"/>
    <w:basedOn w:val="Normal"/>
    <w:link w:val="BodyText3Char"/>
    <w:rsid w:val="00A06DAA"/>
    <w:pPr>
      <w:tabs>
        <w:tab w:val="left" w:pos="964"/>
        <w:tab w:val="left" w:pos="1080"/>
      </w:tabs>
      <w:spacing w:after="0" w:line="240" w:lineRule="auto"/>
      <w:jc w:val="both"/>
    </w:pPr>
    <w:rPr>
      <w:rFonts w:ascii="Times New Roman" w:eastAsia="Batang" w:hAnsi="Times New Roman"/>
      <w:color w:val="0000FF"/>
      <w:sz w:val="24"/>
      <w:szCs w:val="24"/>
      <w:lang w:val="it-IT" w:eastAsia="ko-KR"/>
    </w:rPr>
  </w:style>
  <w:style w:type="character" w:customStyle="1" w:styleId="BodyText3Char">
    <w:name w:val="Body Text 3 Char"/>
    <w:link w:val="BodyText3"/>
    <w:rsid w:val="00A06DAA"/>
    <w:rPr>
      <w:rFonts w:ascii="Times New Roman" w:eastAsia="Batang" w:hAnsi="Times New Roman" w:cs="Times New Roman"/>
      <w:color w:val="0000FF"/>
      <w:sz w:val="24"/>
      <w:szCs w:val="24"/>
      <w:lang w:val="it-IT" w:eastAsia="ko-KR"/>
    </w:rPr>
  </w:style>
  <w:style w:type="table" w:customStyle="1" w:styleId="TableGrid1">
    <w:name w:val="Table Grid1"/>
    <w:basedOn w:val="TableNormal"/>
    <w:next w:val="TableGrid"/>
    <w:rsid w:val="00A06DAA"/>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next w:val="Normal"/>
    <w:autoRedefine/>
    <w:semiHidden/>
    <w:rsid w:val="00A06DAA"/>
    <w:pPr>
      <w:spacing w:after="0" w:line="240" w:lineRule="auto"/>
      <w:ind w:left="240" w:hanging="240"/>
    </w:pPr>
    <w:rPr>
      <w:rFonts w:ascii="Times New Roman" w:eastAsia="Batang" w:hAnsi="Times New Roman"/>
      <w:sz w:val="24"/>
      <w:szCs w:val="24"/>
      <w:lang w:eastAsia="ko-KR"/>
    </w:rPr>
  </w:style>
  <w:style w:type="character" w:styleId="PageNumber">
    <w:name w:val="page number"/>
    <w:basedOn w:val="DefaultParagraphFont"/>
    <w:rsid w:val="00A06DAA"/>
  </w:style>
  <w:style w:type="paragraph" w:styleId="FootnoteText">
    <w:name w:val="footnote text"/>
    <w:basedOn w:val="Normal"/>
    <w:link w:val="FootnoteTextChar"/>
    <w:rsid w:val="00A06DAA"/>
    <w:pPr>
      <w:spacing w:after="0" w:line="240" w:lineRule="auto"/>
    </w:pPr>
    <w:rPr>
      <w:rFonts w:ascii="ArialUpR" w:eastAsia="Times New Roman" w:hAnsi="ArialUpR"/>
      <w:sz w:val="24"/>
      <w:szCs w:val="20"/>
      <w:lang w:val="en-US"/>
    </w:rPr>
  </w:style>
  <w:style w:type="character" w:customStyle="1" w:styleId="FootnoteTextChar">
    <w:name w:val="Footnote Text Char"/>
    <w:link w:val="FootnoteText"/>
    <w:uiPriority w:val="9"/>
    <w:rsid w:val="00A06DAA"/>
    <w:rPr>
      <w:rFonts w:ascii="ArialUpR" w:eastAsia="Times New Roman" w:hAnsi="ArialUpR" w:cs="Times New Roman"/>
      <w:sz w:val="24"/>
      <w:szCs w:val="20"/>
      <w:lang w:val="en-US"/>
    </w:rPr>
  </w:style>
  <w:style w:type="paragraph" w:customStyle="1" w:styleId="CaracterCaracter1">
    <w:name w:val="Caracter Caracter1"/>
    <w:basedOn w:val="Normal"/>
    <w:rsid w:val="00A06DAA"/>
    <w:pPr>
      <w:spacing w:after="0" w:line="240" w:lineRule="auto"/>
    </w:pPr>
    <w:rPr>
      <w:rFonts w:ascii="Times New Roman" w:eastAsia="Times New Roman" w:hAnsi="Times New Roman"/>
      <w:sz w:val="24"/>
      <w:szCs w:val="24"/>
      <w:lang w:val="pl-PL" w:eastAsia="pl-PL"/>
    </w:rPr>
  </w:style>
  <w:style w:type="paragraph" w:customStyle="1" w:styleId="CharCharCharCharChar">
    <w:name w:val="Char Char Char Char Char"/>
    <w:basedOn w:val="Normal"/>
    <w:rsid w:val="00A06DAA"/>
    <w:pPr>
      <w:spacing w:after="0" w:line="240" w:lineRule="auto"/>
    </w:pPr>
    <w:rPr>
      <w:rFonts w:ascii="Times New Roman" w:eastAsia="Times New Roman" w:hAnsi="Times New Roman"/>
      <w:sz w:val="24"/>
      <w:szCs w:val="24"/>
      <w:lang w:val="pl-PL" w:eastAsia="pl-PL"/>
    </w:rPr>
  </w:style>
  <w:style w:type="character" w:customStyle="1" w:styleId="gabrieladobrescu">
    <w:name w:val="gabriela.dobrescu"/>
    <w:semiHidden/>
    <w:rsid w:val="00A06DAA"/>
    <w:rPr>
      <w:rFonts w:ascii="Arial" w:hAnsi="Arial" w:cs="Arial"/>
      <w:color w:val="auto"/>
      <w:sz w:val="20"/>
      <w:szCs w:val="20"/>
    </w:rPr>
  </w:style>
  <w:style w:type="character" w:styleId="Hyperlink">
    <w:name w:val="Hyperlink"/>
    <w:rsid w:val="00A06DAA"/>
    <w:rPr>
      <w:color w:val="0000FF"/>
      <w:u w:val="single"/>
    </w:rPr>
  </w:style>
  <w:style w:type="paragraph" w:customStyle="1" w:styleId="CharCharCharChar">
    <w:name w:val="Char Char Char Char"/>
    <w:basedOn w:val="Normal"/>
    <w:rsid w:val="00A06DAA"/>
    <w:pPr>
      <w:spacing w:after="0" w:line="240" w:lineRule="auto"/>
    </w:pPr>
    <w:rPr>
      <w:rFonts w:ascii="Times New Roman" w:eastAsia="Times New Roman" w:hAnsi="Times New Roman"/>
      <w:sz w:val="24"/>
      <w:szCs w:val="24"/>
      <w:lang w:val="pl-PL" w:eastAsia="pl-PL"/>
    </w:rPr>
  </w:style>
  <w:style w:type="character" w:styleId="FootnoteReference">
    <w:name w:val="footnote reference"/>
    <w:rsid w:val="00A06DAA"/>
    <w:rPr>
      <w:vertAlign w:val="superscript"/>
    </w:rPr>
  </w:style>
  <w:style w:type="paragraph" w:styleId="TOC4">
    <w:name w:val="toc 4"/>
    <w:basedOn w:val="TOC3"/>
    <w:uiPriority w:val="9"/>
    <w:rsid w:val="00A06DAA"/>
    <w:pPr>
      <w:tabs>
        <w:tab w:val="left" w:pos="1418"/>
        <w:tab w:val="right" w:pos="8505"/>
      </w:tabs>
      <w:ind w:left="1418" w:right="567" w:hanging="1418"/>
    </w:pPr>
    <w:rPr>
      <w:rFonts w:ascii="Arial" w:eastAsia="Times New Roman" w:hAnsi="Arial"/>
      <w:szCs w:val="22"/>
      <w:lang w:val="en-US" w:eastAsia="en-AU"/>
    </w:rPr>
  </w:style>
  <w:style w:type="paragraph" w:styleId="TOC3">
    <w:name w:val="toc 3"/>
    <w:basedOn w:val="Normal"/>
    <w:next w:val="Normal"/>
    <w:autoRedefine/>
    <w:rsid w:val="00A06DAA"/>
    <w:pPr>
      <w:spacing w:after="0" w:line="240" w:lineRule="auto"/>
      <w:ind w:left="480"/>
    </w:pPr>
    <w:rPr>
      <w:rFonts w:ascii="Times New Roman" w:eastAsia="Batang" w:hAnsi="Times New Roman"/>
      <w:sz w:val="24"/>
      <w:szCs w:val="24"/>
      <w:lang w:eastAsia="ko-KR"/>
    </w:rPr>
  </w:style>
  <w:style w:type="paragraph" w:customStyle="1" w:styleId="PECtext">
    <w:name w:val="PEC text"/>
    <w:aliases w:val="Block"/>
    <w:link w:val="PECtextChar"/>
    <w:qFormat/>
    <w:rsid w:val="00A06DAA"/>
    <w:pPr>
      <w:spacing w:before="200"/>
    </w:pPr>
    <w:rPr>
      <w:rFonts w:ascii="Arial" w:eastAsia="Times New Roman" w:hAnsi="Arial"/>
      <w:color w:val="000000"/>
      <w:sz w:val="22"/>
      <w:szCs w:val="22"/>
      <w:lang w:eastAsia="en-US"/>
    </w:rPr>
  </w:style>
  <w:style w:type="character" w:customStyle="1" w:styleId="PECtextChar">
    <w:name w:val="PEC text Char"/>
    <w:link w:val="PECtext"/>
    <w:rsid w:val="00A06DAA"/>
    <w:rPr>
      <w:rFonts w:ascii="Arial" w:eastAsia="Times New Roman" w:hAnsi="Arial" w:cs="Times New Roman"/>
      <w:color w:val="000000"/>
      <w:lang w:val="en-GB"/>
    </w:rPr>
  </w:style>
  <w:style w:type="paragraph" w:styleId="Revision">
    <w:name w:val="Revision"/>
    <w:hidden/>
    <w:uiPriority w:val="99"/>
    <w:semiHidden/>
    <w:rsid w:val="00A06DAA"/>
    <w:rPr>
      <w:rFonts w:ascii="Times New Roman" w:eastAsia="Batang" w:hAnsi="Times New Roman"/>
      <w:sz w:val="24"/>
      <w:szCs w:val="24"/>
      <w:lang w:val="ro-RO" w:eastAsia="ko-KR"/>
    </w:rPr>
  </w:style>
  <w:style w:type="paragraph" w:customStyle="1" w:styleId="eneltesto">
    <w:name w:val="enel testo"/>
    <w:basedOn w:val="Normal"/>
    <w:qFormat/>
    <w:rsid w:val="00A06DAA"/>
    <w:pPr>
      <w:suppressAutoHyphens/>
      <w:spacing w:after="0" w:line="260" w:lineRule="exact"/>
    </w:pPr>
    <w:rPr>
      <w:rFonts w:ascii="Arial" w:eastAsia="Times New Roman" w:hAnsi="Arial"/>
      <w:sz w:val="20"/>
      <w:lang w:val="it-IT" w:eastAsia="it-IT"/>
    </w:rPr>
  </w:style>
  <w:style w:type="character" w:styleId="FollowedHyperlink">
    <w:name w:val="FollowedHyperlink"/>
    <w:rsid w:val="00742009"/>
    <w:rPr>
      <w:color w:val="800080"/>
      <w:u w:val="single"/>
    </w:rPr>
  </w:style>
  <w:style w:type="paragraph" w:customStyle="1" w:styleId="norm1">
    <w:name w:val="norm1"/>
    <w:basedOn w:val="Normal"/>
    <w:rsid w:val="004750F3"/>
    <w:pPr>
      <w:spacing w:before="120" w:after="0" w:line="340" w:lineRule="exact"/>
    </w:pPr>
    <w:rPr>
      <w:rFonts w:ascii="TimesRomanR" w:eastAsia="Times New Roman" w:hAnsi="TimesRomanR"/>
      <w:noProof/>
      <w:sz w:val="24"/>
      <w:szCs w:val="20"/>
      <w:lang w:eastAsia="ro-RO"/>
    </w:rPr>
  </w:style>
  <w:style w:type="character" w:customStyle="1" w:styleId="slitttl1">
    <w:name w:val="s_lit_ttl1"/>
    <w:rsid w:val="00BF4E01"/>
    <w:rPr>
      <w:rFonts w:ascii="Verdana" w:hAnsi="Verdana" w:hint="default"/>
      <w:b/>
      <w:bCs/>
      <w:vanish w:val="0"/>
      <w:webHidden w:val="0"/>
      <w:color w:val="8B0000"/>
      <w:sz w:val="20"/>
      <w:szCs w:val="20"/>
      <w:shd w:val="clear" w:color="auto" w:fill="FFFFFF"/>
      <w:specVanish w:val="0"/>
    </w:rPr>
  </w:style>
  <w:style w:type="character" w:customStyle="1" w:styleId="normaltextrun">
    <w:name w:val="normaltextrun"/>
    <w:basedOn w:val="DefaultParagraphFont"/>
    <w:rsid w:val="00A73E3A"/>
  </w:style>
  <w:style w:type="character" w:customStyle="1" w:styleId="salnttl1">
    <w:name w:val="s_aln_ttl1"/>
    <w:rsid w:val="00BB10D5"/>
    <w:rPr>
      <w:rFonts w:ascii="Verdana" w:hAnsi="Verdana" w:hint="default"/>
      <w:b/>
      <w:bCs/>
      <w:vanish w:val="0"/>
      <w:webHidden w:val="0"/>
      <w:color w:val="8B0000"/>
      <w:sz w:val="20"/>
      <w:szCs w:val="20"/>
      <w:shd w:val="clear" w:color="auto" w:fill="FFFFFF"/>
      <w:specVanish w:val="0"/>
    </w:rPr>
  </w:style>
  <w:style w:type="character" w:customStyle="1" w:styleId="slitbdy">
    <w:name w:val="s_lit_bdy"/>
    <w:rsid w:val="00BB10D5"/>
    <w:rPr>
      <w:rFonts w:ascii="Verdana" w:hAnsi="Verdana" w:hint="default"/>
      <w:b w:val="0"/>
      <w:bCs w:val="0"/>
      <w:color w:val="000000"/>
      <w:sz w:val="20"/>
      <w:szCs w:val="20"/>
      <w:shd w:val="clear" w:color="auto" w:fill="FFFFFF"/>
    </w:rPr>
  </w:style>
  <w:style w:type="character" w:customStyle="1" w:styleId="spar3">
    <w:name w:val="s_par3"/>
    <w:rsid w:val="00BB10D5"/>
    <w:rPr>
      <w:rFonts w:ascii="Verdana" w:hAnsi="Verdana" w:hint="default"/>
      <w:b w:val="0"/>
      <w:bCs w:val="0"/>
      <w:vanish w:val="0"/>
      <w:webHidden w:val="0"/>
      <w:color w:val="000000"/>
      <w:sz w:val="20"/>
      <w:szCs w:val="20"/>
      <w:shd w:val="clear" w:color="auto" w:fill="FFFFFF"/>
      <w:specVanish w:val="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9BCBA-BF1E-462C-88A3-45D758B0B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3868</Words>
  <Characters>22052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Sinteza observaţii la documentul de discuţie</vt:lpstr>
    </vt:vector>
  </TitlesOfParts>
  <Company>ANRE</Company>
  <LinksUpToDate>false</LinksUpToDate>
  <CharactersWithSpaces>25869</CharactersWithSpaces>
  <SharedDoc>false</SharedDoc>
  <HLinks>
    <vt:vector size="6" baseType="variant">
      <vt:variant>
        <vt:i4>5177426</vt:i4>
      </vt:variant>
      <vt:variant>
        <vt:i4>0</vt:i4>
      </vt:variant>
      <vt:variant>
        <vt:i4>0</vt:i4>
      </vt:variant>
      <vt:variant>
        <vt:i4>5</vt:i4>
      </vt:variant>
      <vt:variant>
        <vt:lpwstr>http://www.bnr.ro/Titluri-de-stat---rate-de-referinta-(fixing)-6332.aspx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Sinteza observaţii la documentul de discuţie</dc:title>
  <cp:revision>2</cp:revision>
  <cp:lastPrinted>2020-07-29T11:00:00Z</cp:lastPrinted>
  <dcterms:created xsi:type="dcterms:W3CDTF">2020-09-03T08:28:00Z</dcterms:created>
  <dcterms:modified xsi:type="dcterms:W3CDTF">2020-09-03T08:28:00Z</dcterms:modified>
</cp:coreProperties>
</file>